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Insularità, tratti caratteriali e interferenze politiche locali: i fattori decisivi del progressivo declino del servizio sanitario regionale della Sardegna</w:t>
      </w:r>
    </w:p>
    <w:p>
      <w:pPr>
        <w:pStyle w:val="Subtitle"/>
      </w:pPr>
      <w:r>
        <w:t>Armando Bartolazzi</w:t>
      </w:r>
    </w:p>
    <w:p>
      <w:r>
        <w:t>Dipartimento di Patologia e Medicina molecolare, Azienda ospedaliera universitaria Sant’Andrea, Roma, Italia</w:t>
      </w:r>
    </w:p>
    <w:p>
      <w:r>
        <w:rPr>
          <w:sz w:val="20"/>
        </w:rPr>
        <w:t>Frontiers in Public Health, 14:1864788, 18 agosto 2026. DOI: 10.3389/fpubh.2026.1864788.</w:t>
      </w:r>
    </w:p>
    <w:p>
      <w:r>
        <w:rPr>
          <w:sz w:val="20"/>
        </w:rPr>
        <w:t>Traduzione italiana dal PDF fornito. I richiami bibliografici sono trasformati in vere note a piè di pagina; ogni nota conserva il numero del riferimento nell’originale. Le citazioni successive rinviano alla prima nota che contiene il riferimento completo. La traduzione non corregge né verifica le affermazioni e i riferimenti dell’autore.</w:t>
      </w:r>
    </w:p>
    <w:p>
      <w:r>
        <w:t>La Sardegna è una peculiare regione autonoma italiana, caratterizzata da una popolazione poco numerosa, da un patrimonio genetico unico e da difficoltà legate all’isolamento socioeconomico dovuto all’insularità. Nonostante le ingenti risorse finanziarie stanziate ogni anno per il Servizio sanitario regionale, le sue prestazioni peggiorano lentamente. In quanto regione insulare autonoma, la Sardegna rappresenta un «laboratorio sperimentale» ideale per individuare le principali determinanti di questo fallimento. I tratti caratteriali dei sardi, fortemente influenzati da secoli di colonizzazione e adattamento sociopolitico, le difficoltà dell’insularità e le politiche sanitarie adottate a livello regionale e locale contribuiscono congiuntamente al progressivo fallimento del Servizio sanitario regionale. Questo contributo intende analizzare gli effetti di tali fattori sulle prestazioni del Servizio sanitario regionale e individuare azioni correttive per invertire la tendenza negativa.</w:t>
      </w:r>
    </w:p>
    <w:p>
      <w:r>
        <w:t>PAROLE CHIAVE: politiche sanitarie basate sulle evidenze, modello di rete ospedaliera, hub e spoke, sindrome dell’insularità, aziende sanitarie locali, politica sanitaria regionale</w:t>
      </w:r>
    </w:p>
    <w:p>
      <w:pPr>
        <w:pStyle w:val="Heading1"/>
      </w:pPr>
      <w:r>
        <w:t>1 Introduzione</w:t>
      </w:r>
    </w:p>
    <w:p>
      <w:r>
        <w:t>La regione italiana della Sardegna si estende per 24.100 chilometri quadrati ed è la seconda isola del Mediterraneo per grandezza, dopo la Sicilia. La popolazione, pari a 1.562.380 abitanti, si concentra prevalentemente nelle aree metropolitane di Cagliari e Sassari; il 28% ha più di 65 anni e vi sono diverse «zone blu» di grande interesse scientifico per la presenza di centenari in buona salute</w:t>
      </w:r>
      <w:r>
        <w:rPr>
          <w:rStyle w:val="FootnoteReference"/>
        </w:rPr>
        <w:footnoteReference w:id="1"/>
      </w:r>
      <w:r>
        <w:t>.</w:t>
      </w:r>
    </w:p>
    <w:p>
      <w:r>
        <w:t>La densità della popolazione è di circa 65 abitanti per chilometro quadrato. Con lo Statuto speciale della Regione autonoma della Sardegna, approvato con legge costituzionale n. 3 del 26 febbraio 1948, l’isola è diventata una regione autonoma, acquisendo un ampio grado di autonomia in materia di amministrazione locale, istruzione, cultura, economia e sanità.</w:t>
      </w:r>
    </w:p>
    <w:p>
      <w:r>
        <w:t>La Regione provvede pertanto direttamente al finanziamento del Servizio sanitario regionale (RHS nell’originale; qui SSR), universale e pubblico. Le risorse finanziarie stanziate annualmente dalla Giunta regionale per garantire l’assistenza sanitaria pubblica e i servizi sociali ammontano a circa 4 miliardi di euro l’anno [nell’originale: «four4»] — 11,6 miliardi sono stati stanziati per il triennio 2026–2028 — e derivano principalmente dal prelievo fiscale sulla popolazione.</w:t>
      </w:r>
    </w:p>
    <w:p>
      <w:r>
        <w:t>Come riportato dal Piano nazionale esiti annuale (NOP nell’originale), pubblicato ogni anno dall’Agenzia nazionale per i servizi sanitari regionali (AgeNaS), ente amministrativo governativo operante sotto il Ministero della Salute italiano, nonostante le ingenti risorse economiche finora disponibili per garantire i servizi sanitari, la Sardegna si colloca agli ultimi posti nella graduatoria nazionale delle Regioni per capacità di erogare livelli essenziali di assistenza di alta qualità (EPC nell’originale)</w:t>
      </w:r>
      <w:r>
        <w:rPr>
          <w:rStyle w:val="FootnoteReference"/>
        </w:rPr>
        <w:footnoteReference w:id="2"/>
      </w:r>
      <w:r>
        <w:t>. Questi dati sono confermati anche da un’agenzia indipendente altamente qualificata denominata GIMBE (Gruppo italiano per la medicina basata sulle evidenze), nell’8° Rapporto GIMBE sul Servizio sanitario nazionale, pubblicato nell’ottobre 2025</w:t>
      </w:r>
      <w:r>
        <w:rPr>
          <w:rStyle w:val="FootnoteReference"/>
        </w:rPr>
        <w:footnoteReference w:id="3"/>
      </w:r>
      <w:r>
        <w:t>.</w:t>
      </w:r>
    </w:p>
    <w:p>
      <w:r>
        <w:t>I livelli essenziali di assistenza stabiliscono le tipologie di prestazioni che ciascun SSR deve fornire a tutti i cittadini, gratuitamente o dietro pagamento di una piccola quota</w:t>
      </w:r>
      <w:r>
        <w:rPr>
          <w:rStyle w:val="FootnoteReference"/>
        </w:rPr>
        <w:footnoteReference w:id="4"/>
      </w:r>
      <w:r>
        <w:t>. Attualmente l’accesso a queste prestazioni varia notevolmente fra le regioni italiane. Liste d’attesa, differenze organizzative e carenze strutturali e tecnologiche rendono meno certo il diritto alle cure per chi vive in alcune regioni del Paese, e la Sardegna è fra quelle con maggiori criticità</w:t>
      </w:r>
      <w:r>
        <w:rPr>
          <w:rStyle w:val="FootnoteReference"/>
        </w:rPr>
        <w:footnoteReference w:id="5"/>
      </w:r>
      <w:r>
        <w:t>. Il Piano nazionale esiti (NOP), curato da AgeNaS, valuta qualità, efficacia ed equità dell’assistenza ospedaliera regionale sulla base di centinaia di indicatori. La Tabella 1 mostra la posizione della Sardegna fra le 21 regioni italiane nel periodo 2005–2025, secondo i dati dei rispettivi NOP. La Figura 1 mostra alcune delle maggiori criticità ad alto impatto sulla salute della popolazione, nel confronto con le altre regioni italiane, ricavate dal NOP 2025. Considerando l’andamento 2005–2025, la Sardegna è rimasta costantemente nella metà inferiore della graduatoria, con un peggioramento di alcuni indicatori dovuto a problemi strutturali:</w:t>
      </w:r>
    </w:p>
    <w:p>
      <w:r>
        <w:t>(1) Bassi volumi di attività nella maggior parte degli ospedali regionali, con conseguente frammentazione delle casistiche.</w:t>
      </w:r>
    </w:p>
    <w:p>
      <w:r>
        <w:t>(2) Geografia insulare e conseguente mobilità dei pazienti verso altre regioni per ricevere cure, pari a circa l’8% per le procedure ad alta complessità. (3) Tempi critici degli interventi per fratture del femore e chirurgia cardiaca.</w:t>
      </w:r>
    </w:p>
    <w:p>
      <w:r>
        <w:t>Per quanto riguarda la medicina di genere, istituzionalizzata attraverso la legge quadro 3/2018, proposta dal Ministero della Salute italiano e seguita da importanti misure attuative nazionali, quali l’istituzione del Piano nazionale triennale per la medicina di genere (2021–2023) e dell’Osservatorio nazionale sulla medicina di genere presso l’Istituto superiore di sanità, diverse aziende sanitarie locali (ASL) sarde stanno introducendo ambulatori e percorsi assistenziali sensibili alle differenze di genere, in particolare in oncologia, cardiologia e nelle malattie rare. A oggi gli unici dati regionali disponibili sull’impatto di queste politiche sono ricavabili dal NOP AgeNaS 2024. Dal 2019 l’Agenzia pubblica gli esiti ospedalieri disaggregati per genere per diversi indicatori.</w:t>
      </w:r>
    </w:p>
    <w:p>
      <w:r>
        <w:t>Il NOP 2024 evidenzia persistenti disuguaglianze di genere a svantaggio delle donne in diversi indicatori, per esempio l’infarto miocardico acuto (AMI nell’originale) e il trattamento tempestivo delle fratture del femore. Sebbene l’andamento 2015–2023 mostri un lieve miglioramento, nel 2024 la Regione si colloca fra il 17° e il 19° posto negli indicatori specifici per genere (dati non aggregati). Il divario maggiore riguarda le procedure di angioplastica coronarica percutanea transluminale (PTCA) nelle donne con STEMI, cioè infarto miocardico con sopraslivellamento del tratto ST</w:t>
      </w:r>
      <w:r>
        <w:rPr>
          <w:rStyle w:val="FootnoteReference"/>
        </w:rPr>
        <w:footnoteReference w:id="6"/>
      </w:r>
      <w:r>
        <w:t>.</w:t>
      </w:r>
    </w:p>
    <w:p>
      <w:r>
        <w:t>Investimenti specifici e l’attuazione di politiche sanitarie basate sulle evidenze per la medicina di genere sono essenziali per migliorare anche questo andamento.</w:t>
      </w:r>
    </w:p>
    <w:p>
      <w:r>
        <w:t>I cittadini sardi si rivolgono spesso fuori regione per le proprie necessità sanitarie, perché non riescono a trovare soluzioni adeguate al suo interno. A conferma di ciò, nel 2024 la Regione ha speso circa 100 milioni di euro per la mobilità sanitaria extraregionale, mentre il 17% della popolazione sarda rinuncia alle cure</w:t>
      </w:r>
      <w:r>
        <w:rPr>
          <w:rStyle w:val="FootnoteReference"/>
        </w:rPr>
        <w:footnoteReference w:id="7"/>
      </w:r>
      <w:r>
        <w:t xml:space="preserve"> (Figura 2).</w:t>
      </w:r>
    </w:p>
    <w:p>
      <w:r>
        <w:t>In quanto isola con un governo regionale autonomo, la Sardegna si presta a un’analisi dettagliata delle dinamiche sociali e politiche che, nonostante le ingenti risorse finanziarie stanziate ogni anno, hanno impedito troppo a lungo l’erogazione di buoni servizi sanitari alla popolazione.</w:t>
      </w:r>
    </w:p>
    <w:p>
      <w:r>
        <w:t>La presente analisi deriva da un’esperienza politica diretta sul posto, in qualità di assessore regionale alla Sanità e alle Politiche sociali dall’aprile 2024 al dicembre 2025, e prende in considerazione i problemi connessi all’insularità, le politiche sanitarie adottate a livello regionale e locale e alcuni peculiari tratti caratteriali del popolo sardo, in particolare la cosiddetta «reticenza coloniale», indotta da secoli di colonizzazione e sfruttamento delle risorse, che rende difficile il confronto fra pari al di fuori dell’isola. Tutti questi fattori costituiscono determinanti fondamentali delle scarse prestazioni del SSR sardo. Questo contributo intende stimolare una discussione costruttiva sul tema per individuare, finalmente, le necessarie politiche sanitarie basate sulle evidenze da adottare.</w:t>
      </w:r>
    </w:p>
    <w:p>
      <w:pPr>
        <w:pStyle w:val="Heading1"/>
      </w:pPr>
      <w:r>
        <w:t>2 Contesto — l’attuale organizzazione del Servizio sanitario regionale sardo</w:t>
      </w:r>
    </w:p>
    <w:p>
      <w:r>
        <w:t>Con la legge regionale n. 20 dell’11 settembre 2020, la Sardegna ha smantellato l’azienda sanitaria unica (ATS), istituita il 1° gennaio 2017 ai sensi della legge regionale n. 17 del 27 luglio 2016. Questa azione politica ha riformato il Servizio sanitario regionale ricostituendo otto distinte aziende sanitarie locali (ASL); due aziende ospedaliero-universitarie (AOU di Cagliari e Sassari); un ospedale di alta specializzazione denominato ARNAS-Brotzu; un’agenzia regionale per l’emergenza (AREUS); e un’agenzia di servizi (ARES). Attualmente la Sardegna conta 57 ospedali pubblici e circa 51 strutture ospedaliere private accreditate, la cui attività dovrebbe essere sussidiaria rispetto al servizio sanitario pubblico.</w:t>
      </w:r>
    </w:p>
    <w:p>
      <w:r>
        <w:t>La Sardegna è una delle poche regioni italiane prive di un Istituto di ricovero e cura a carattere scientifico (IRCCS), nel quale integrare ricerca traslazionale e attività cliniche, e di centri altamente specializzati — ospedali con una specifica missione o vocazione — dove siano erogati trattamenti all’avanguardia. Manca inoltre un ospedale pediatrico di riferimento regionale.</w:t>
      </w:r>
    </w:p>
    <w:p>
      <w:r>
        <w:t>Le due aziende ospedaliero-universitarie di Sassari e Cagliari, che ospitano le facoltà di Medicina, insieme all’ARNAS-Brotzu — struttura polispecialistica nell’area cagliaritana, con particolare attenzione all’emergenza e ai trapianti — sono gli ospedali metropolitani che gestiscono la maggior parte dei pazienti, in particolare quasi tutti quelli che necessitano di cure di complessità medio-alta.</w:t>
      </w:r>
    </w:p>
    <w:p>
      <w:r>
        <w:t>Di conseguenza, rivolgersi fuori regione per un’ampia gamma di specialità mediche e chirurgiche, soprattutto ortopedia, oncologia medica e chirurgica, patologie pediatriche e malattie neurologiche, è una pratica comune fra i sardi</w:t>
      </w:r>
      <w:r>
        <w:rPr>
          <w:rStyle w:val="FootnoteReference"/>
        </w:rPr>
        <w:footnoteReference w:id="8"/>
      </w:r>
      <w:r>
        <w:t>. L’isola incontra notevoli difficoltà anche nell’assistenza primaria, soprattutto nelle aree interne e montane, dove i medici di medicina generale sono pochissimi. La gestione locale delle patologie croniche risulta quindi molto difficile e i pazienti vengono indirizzati in modo inappropriato agli ospedali più vicini, causando sovraffollamento nei pronto soccorso e nei reparti di degenza.</w:t>
      </w:r>
    </w:p>
    <w:p>
      <w:r>
        <w:t>Con la legge regionale n. 8 dell’11 marzo 2025, la Giunta ha tentato di riformare il sistema, avanzando proposte di potenziamento della medicina territoriale per ridurre sensibilmente gli accessi inappropriati agli ospedali. È stata inoltre rilanciata la necessaria e urgente definizione di missioni precise per ciascun ospedale regionale, nonché l’esigenza di istituire un ospedale pediatrico di riferimento regionale (IRCCS), capace di coniugare la ricerca genetica d’eccellenza dell’isola con l’assistenza ai bambini</w:t>
      </w:r>
      <w:r>
        <w:rPr>
          <w:rStyle w:val="FootnoteReference"/>
        </w:rPr>
        <w:footnoteReference w:id="9"/>
      </w:r>
      <w:r>
        <w:t>.</w:t>
      </w:r>
    </w:p>
    <w:p>
      <w:r>
        <w:t>Nonostante la necessità di una riorganizzazione funzionale della rete ospedaliera regionale, volta a ottimizzare razionalmente le limitate risorse umane e tecnologiche disponibili, la legge n. 8 è stata impugnata dal Governo nazionale, che ha ritenuto incostituzionale l’articolo 15, relativo alla proposta di modifica della governance delle aziende sanitarie.</w:t>
      </w:r>
    </w:p>
    <w:p>
      <w:r>
        <w:t>La Corte costituzionale, con la sentenza n. 198 del 23 dicembre 2025, ha accolto il ricorso governativo con motivazioni tecnicamente ineccepibili. Di conseguenza, la Sardegna deve ancora definire la governance delle proprie aziende sanitarie locali, tuttora oggetto di imbarazzanti dispute politiche e partitiche.</w:t>
      </w:r>
    </w:p>
    <w:p>
      <w:pPr>
        <w:pStyle w:val="Heading1"/>
      </w:pPr>
      <w:r>
        <w:t>3 Approfondimenti per comprendere gli elementi fondamentali</w:t>
      </w:r>
    </w:p>
    <w:p>
      <w:pPr>
        <w:pStyle w:val="Heading2"/>
      </w:pPr>
      <w:r>
        <w:t>3.1 Criticità derivanti dall’attuale modello organizzativo del Servizio sanitario regionale sardo</w:t>
      </w:r>
    </w:p>
    <w:p>
      <w:r>
        <w:t>In Sardegna è ormai operativo un SSR caratterizzato da una pletora di ospedali locali non collegati in rete, servizi ridondanti e frammentati e rilevanti difficoltà organizzative. Questo modello ha disperso in tutta la regione le già scarse risorse umane cliniche e amministrative oggi disponibili. Gli ospedali pubblici virtuosi, con vocazione ben definita, risorse umane sufficienti e casistiche adeguate — fondamentali per fornire ai cittadini un’assistenza all’avanguardia — sono pochissimi in Sardegna e limitati alle strutture hub metropolitane. Ciò rappresenta probabilmente una delle maggiori criticità del SSR. Inoltre, a causa dell’avventata dispersione del personale amministrativo esperto, in origine centralizzato nell’ATS, fra le molteplici ASL di nuova istituzione, queste ultime non sono riuscite a presentare al Governo nazionale, e precisamente al Ministero delle Finanze, i bilanci degli anni 2022–2024 nei termini previsti dalle norme vigenti, provocando almeno due anni di caos gestionale e programmatorio.</w:t>
      </w:r>
    </w:p>
    <w:p>
      <w:r>
        <w:t>Un’indagine dettagliata sugli ospedali pubblici regionali, condotta personalmente sul posto negli anni 2024–2025 in qualità di assessore regionale alla Sanità e alle Politiche sociali, ha mostrato che la maggior parte di essi presenta gravi carenze di medici specialisti, infermieri e personale amministrativo, con conseguenti difficoltà organizzative e mancata erogazione di servizi sanitari adeguati. In ospedali periferici sono stati inspiegabilmente creati diversi reparti chirurgici senza disporre di équipe specialistiche e tecnologie sufficienti; di conseguenza, in questi contesti non possono essere garantiti interventi chirurgici di complessità medio-alta che richiedono un approccio multispecialistico.</w:t>
      </w:r>
    </w:p>
    <w:p>
      <w:r>
        <w:t>Lo scenario si complica ulteriormente nella stagione estiva, da giugno a settembre, quando la popolazione sarda triplica, poiché l’isola è una destinazione turistica molto attrattiva.</w:t>
      </w:r>
    </w:p>
    <w:p>
      <w:r>
        <w:t>I pronto soccorso e le terapie intensive, dove esistono, affrontano situazioni davvero critiche.</w:t>
      </w:r>
    </w:p>
    <w:p>
      <w:r>
        <w:t>Come prevedibile, quasi tutti i pazienti indirizzati agli ospedali locali vengono trasferiti agli ospedali metropolitani di Cagliari e Sassari, gli unici in grado di gestire casi di complessità medio-alta, sebbene i loro pronto soccorso e reparti clinici siano spesso sovraccarichi, con un’occupazione dei posti letto superiore al 150% per gran parte dell’anno</w:t>
      </w:r>
      <w:r>
        <w:rPr>
          <w:rStyle w:val="FootnoteReference"/>
        </w:rPr>
        <w:footnoteReference w:id="10"/>
      </w:r>
      <w:r>
        <w:t>.</w:t>
      </w:r>
    </w:p>
    <w:p>
      <w:pPr>
        <w:pStyle w:val="Heading2"/>
      </w:pPr>
      <w:r>
        <w:t>3.2 Insularità, caratteristiche orografiche e isolamento scientifico del SSR e loro potenziale impatto sulle prestazioni dei servizi sanitari</w:t>
      </w:r>
    </w:p>
    <w:p>
      <w:r>
        <w:t>L’insularità e le difficoltà dei trasporti, sia interni sia verso il continente, rappresentano due delle principali criticità della Regione Sardegna. Gran parte della popolazione residente nelle aree interne ha difficoltà ad accedere ai servizi sanitari forniti dai principali ospedali metropolitani.</w:t>
      </w:r>
    </w:p>
    <w:p>
      <w:r>
        <w:t>Probabilmente questa è una delle ragioni per cui sono stati realizzati molti ospedali periferici regionali, che fungono soprattutto da presidi comunali per l’accesso in emergenza e per le cure di intensità bassa o media.</w:t>
      </w:r>
    </w:p>
    <w:p>
      <w:r>
        <w:t>Purtroppo, in contesti come questi, nei quali si riscontrano invariabilmente risorse umane e competenze tecnologiche limitate e disperse, è quasi impossibile fornire percorsi diagnostico-terapeutici assistenziali (DTCP nell’originale; qui PDTA) all’avanguardia per le patologie più rilevanti. Come conseguenza meno evidente, non pienamente compresa dai politici locali e regionali, si registra una lenta e inesorabile perdita di medici specialisti. In un contesto entropico in cui tutti gli ospedali forniscono gli stessi «servizi sanitari di base» e «tutti fanno tutto», spesso al di fuori delle linee guida nazionali, sarà molto difficile garantire livelli minimi di assistenza qualificata e all’avanguardia, secondo la buona pratica clinica e, soprattutto, in piena sicurezza</w:t>
      </w:r>
      <w:r>
        <w:rPr>
          <w:rStyle w:val="FootnoteReference"/>
        </w:rPr>
        <w:footnoteReference w:id="11"/>
      </w:r>
      <w:r>
        <w:t>. In tali contesti è quasi impossibile attrarre e poi trattenere medici specialisti, creare scuole e raggiungere casistiche significative e qualificate.</w:t>
      </w:r>
    </w:p>
    <w:p>
      <w:r>
        <w:t>Di conseguenza, la qualità dei servizi sanitari negli ospedali locali regionali è destinata a un inesorabile declino. Non sorprende pertanto che il 16% dei medici delle facoltà universitarie di Medicina di Sassari e Cagliari lasci il proprio lavoro entro tre anni dal conseguimento della specializzazione, scegliendo incarichi più stimolanti e professionalmente gratificanti in altre regioni italiane o persino all’estero.</w:t>
      </w:r>
    </w:p>
    <w:p>
      <w:r>
        <w:t>A questa situazione critica si aggiunge l’inevitabile burnout degli operatori sanitari nei principali ospedali metropolitani, soprattutto nei pronto soccorso, a causa di carichi di lavoro divenuti insostenibili per i continui trasferimenti di pazienti dalle aree interne.</w:t>
      </w:r>
    </w:p>
    <w:p>
      <w:r>
        <w:t>Nel complesso, l’assenza di una rete ospedaliera regionale efficiente, la carenza di personale medico e infermieristico negli ospedali periferici poco attrattivi e le difficoltà dei trasporti interni hanno trasformato un’emergenza cronica in una situazione esplosiva.</w:t>
      </w:r>
    </w:p>
    <w:p>
      <w:r>
        <w:t>La condizione di insularità è in parte responsabile di altre criticità.</w:t>
      </w:r>
    </w:p>
    <w:p>
      <w:r>
        <w:t>La limitata capacità di collaborazione e dialogo con le istituzioni di punta del continente è più che evidente ed è ulteriormente compromessa dall’isolamento ambientale e culturale.</w:t>
      </w:r>
    </w:p>
    <w:p>
      <w:r>
        <w:t>L’Ospedale oncologico Businco di Cagliari, per esempio, è l’unico ospedale sardo con una missione oncologica ben definita. Purtroppo le sue attività cliniche e chirurgiche devono essere potenziate in misura consistente. Questo «ospedale specializzato» non fa parte della rete nazionale degli ospedali oncologici denominata «Alleanza contro il cancro», fondata nel 2002 dal Ministero della Salute italiano</w:t>
      </w:r>
      <w:r>
        <w:rPr>
          <w:rStyle w:val="FootnoteReference"/>
        </w:rPr>
        <w:footnoteReference w:id="12"/>
      </w:r>
      <w:r>
        <w:t>, che mira a trasferire l’innovazione della ricerca nella pratica clinica e a uniformare l’assistenza oncologica nel Paese, in particolare quanto all’accesso equo ai farmaci innovativi</w:t>
      </w:r>
      <w:r>
        <w:rPr>
          <w:rStyle w:val="FootnoteReference"/>
        </w:rPr>
        <w:footnoteReference w:id="13"/>
      </w:r>
      <w:r>
        <w:t>.</w:t>
      </w:r>
    </w:p>
    <w:p>
      <w:r>
        <w:t>Per questo motivo la partecipazione dei pazienti sardi a sperimentazioni cliniche nazionali e internazionali è tuttora molto difficile. Non risultano registrate sperimentazioni cliniche e sperimentali che impieghino terapie a bersaglio molecolare e terapie innovative coordinate da oncologi locali, ammesso che ve ne siano. Solo di recente, con la deliberazione regionale n. 42/61 del 6 novembre 2024, la Sardegna ha tentato di migliorare l’accesso ai farmaci innovativi, che non superava il 4%, a fronte di una media nazionale del 50%</w:t>
      </w:r>
      <w:r>
        <w:rPr>
          <w:rStyle w:val="FootnoteReference"/>
        </w:rPr>
        <w:footnoteReference w:id="14"/>
      </w:r>
      <w:r>
        <w:t>. La chirurgia oncologica del Businco riguarda perlopiù i tumori della mammella e del polmone, con procedure che fino agli anni 2023–2024 non erano sempre pienamente conformi alle linee guida nazionali. Il volume dei casi trattati per altri tipi di tumore è molto basso e inferiore alle soglie di sicurezza.</w:t>
      </w:r>
    </w:p>
    <w:p>
      <w:r>
        <w:t>Nel PON AgeNaS 2025 [sigla così riportata nell’originale] non sono state individuate in Sardegna strutture all’avanguardia per la chirurgia oncologica (Figura 1). Solo molto di recente la Giunta regionale ha finalmente riconosciuto l’urgenza di creare una Rete oncologica regionale collegata ai maggiori istituti oncologici nazionali del continente. L’obiettivo era allineare le attività oncologiche dell’isola agli standard nazionali, rafforzando sia l’attività clinica sia la ricerca traslazionale e migliorando l’accesso dei pazienti sardi a sperimentazioni cliniche che utilizzano terapie innovative</w:t>
      </w:r>
      <w:r>
        <w:rPr>
          <w:rStyle w:val="FootnoteReference"/>
        </w:rPr>
        <w:footnoteReference w:id="15"/>
      </w:r>
      <w:r>
        <w:t>.</w:t>
      </w:r>
    </w:p>
    <w:p>
      <w:r>
        <w:t>Fino alla fine del 2025, la Sardegna, in quanto regione autonoma, era esclusa dall’accesso al Fondo nazionale per i farmaci innovativi, previsto dall’Agenzia italiana del farmaco (AIFA) per le regioni a statuto ordinario. Di recente il Governo nazionale ha modificato le regole e, a partire dal 2025, la Sardegna è stata finalmente ammessa</w:t>
      </w:r>
      <w:r>
        <w:rPr>
          <w:rStyle w:val="FootnoteReference"/>
        </w:rPr>
        <w:footnoteReference w:id="16"/>
      </w:r>
      <w:r>
        <w:t>.</w:t>
      </w:r>
    </w:p>
    <w:p>
      <w:r>
        <w:t>Ciò rappresenta un’opportunità concreta per introdurre in Sardegna terapie molecolari in molte aree cliniche, soprattutto in oncologia, quando saranno creati PDTA per ciascun tipo di tumore e saranno finalmente definiti e potenziati ospedali in rete con una specifica vocazione oncologica. Questa organizzazione funzionale ridurrà probabilmente anche il disagio dei pazienti e i costi della mobilità sanitaria extraregionale.</w:t>
      </w:r>
    </w:p>
    <w:p>
      <w:pPr>
        <w:pStyle w:val="Heading2"/>
      </w:pPr>
      <w:r>
        <w:t>3.3 Genetica, tratti caratteriali e peculiarità relazionali del popolo sardo</w:t>
      </w:r>
    </w:p>
    <w:p>
      <w:r>
        <w:t>La popolazione sarda possiede un patrimonio genetico unico, fortemente influenzato dall’insularità. Importanti studi genetici hanno dimostrato nei sardi un’elevata frequenza di varianti genetiche associate a caratteristiche quali la resistenza alla malaria e l’adattamento all’ambiente</w:t>
      </w:r>
      <w:r>
        <w:rPr>
          <w:rStyle w:val="FootnoteReference"/>
        </w:rPr>
        <w:footnoteReference w:id="17"/>
      </w:r>
      <w:r>
        <w:t>.</w:t>
      </w:r>
    </w:p>
    <w:p>
      <w:r>
        <w:t>Particolarmente degne di nota sono l’elevata concentrazione di centenari in buona salute in alcune aree dell’isola, denominate «zone blu», e la più alta incidenza di alcune malattie genetiche rare rispetto al resto d’Italia e d’Europa</w:t>
      </w:r>
      <w:r>
        <w:rPr>
          <w:rStyle w:val="FootnoteReference"/>
        </w:rPr>
        <w:footnoteReference w:id="18"/>
      </w:r>
      <w:r>
        <w:t>. Questi dati dimostrano l’esistenza di peculiarità genetiche che rendono la Sardegna unica sotto molti aspetti.</w:t>
      </w:r>
    </w:p>
    <w:p>
      <w:r>
        <w:t>Oltre a influenzare la prevalenza di alcune malattie e a contribuire all’adattamento ambientale, la genetica determina anche la predisposizione a determinati tratti della personalità, quali suscettibilità, aggressività, introversione e pensiero divergente</w:t>
      </w:r>
      <w:r>
        <w:rPr>
          <w:rStyle w:val="FootnoteReference"/>
        </w:rPr>
        <w:footnoteReference w:id="19"/>
      </w:r>
      <w:r>
        <w:t>.</w:t>
      </w:r>
    </w:p>
    <w:p>
      <w:r>
        <w:t>L’espressione genica è certamente influenzata da fattori ambientali epigenetici, quali l’alimentazione o lo stile di vita, ma il tratto caratteriale di una popolazione è il risultato di interazioni complesse fra fattori genetici, ambientali, culturali e storici, che contribuiscono tutti insieme a plasmarlo</w:t>
      </w:r>
      <w:r>
        <w:rPr>
          <w:rStyle w:val="FootnoteReference"/>
        </w:rPr>
        <w:footnoteReference w:id="20"/>
      </w:r>
      <w:r>
        <w:t>.</w:t>
      </w:r>
    </w:p>
    <w:p>
      <w:r>
        <w:t>«Pocos, locos e male unidos» è un’espressione spagnola che significa «pochi, matti e poco uniti», usata dal re di Spagna Filippo II già nel 1581 per descrivere la popolazione sarda, considerata ribelle, dispersa sul territorio e difficile da governare</w:t>
      </w:r>
      <w:r>
        <w:rPr>
          <w:rStyle w:val="FootnoteReference"/>
        </w:rPr>
        <w:footnoteReference w:id="21"/>
      </w:r>
      <w:r>
        <w:t>.</w:t>
      </w:r>
    </w:p>
    <w:p>
      <w:r>
        <w:t>L’espressione sottolinea la percezione di una certa indipendenza e resistenza dei sardi ai dominatori stranieri. Questo fatto, profondamente radicato nella tradizione orale e scritta del popolo sardo, non dovrebbe essere considerato stricto sensu come «reticenza razziale», ma piuttosto come una risposta storica a secoli di colonialismo.</w:t>
      </w:r>
    </w:p>
    <w:p>
      <w:r>
        <w:t>Il tema ricorre nella saggistica, nell’antropologia e nella letteratura sarda dall’Ottocento a oggi. Gli anglofoni lo definiscono «riservatezza sarda», «mentalità isolana», «codice del silenzio», «reticenza coloniale»</w:t>
      </w:r>
      <w:r>
        <w:rPr>
          <w:rStyle w:val="FootnoteReference"/>
        </w:rPr>
        <w:footnoteReference w:id="22"/>
      </w:r>
      <w:r>
        <w:t>.</w:t>
      </w:r>
    </w:p>
    <w:p>
      <w:r>
        <w:t>Nella molto citata traduzione di Martha King del romanzo «Canne al vento» della scrittrice sarda e premio Nobel Grazia Deledda, l’autore descrive efficacemente il tratto caratteriale della «reticenza sarda» e ne spiega le origini. Il concetto è rappresentato vividamente: «… il popolo sardo è segnato da una riservatezza secolare, un silenzio nato dalle ripetute dominazioni straniere… (omesso) … Per sopravvivere il sardo imparò a non parlare, a non rivelarsi all’estraneo»</w:t>
      </w:r>
      <w:r>
        <w:rPr>
          <w:rStyle w:val="FootnoteReference"/>
        </w:rPr>
        <w:footnoteReference w:id="23"/>
      </w:r>
      <w:r>
        <w:t>. Ne «La foresta di Norbio», scritto da Dessì, il protagonista, proveniente dal continente, non riesce mai davvero a entrare nell’isola. I sardi, quindi, «rimangono ombre»</w:t>
      </w:r>
      <w:r>
        <w:rPr>
          <w:rStyle w:val="FootnoteReference"/>
        </w:rPr>
        <w:footnoteReference w:id="24"/>
      </w:r>
      <w:r>
        <w:t>. Anche nella letteratura in lingua inglese sono ben documentati diversi contributi storici e antropologici sul tema</w:t>
      </w:r>
      <w:r>
        <w:rPr>
          <w:rStyle w:val="FootnoteReference"/>
        </w:rPr>
        <w:footnoteReference w:id="25"/>
      </w:r>
      <w:r>
        <w:t>.</w:t>
      </w:r>
    </w:p>
    <w:p>
      <w:r>
        <w:t>Ma che cosa ha a che fare tutto questo con la sanità regionale? La diffidenza e la chiusura al confronto esterno sono un tratto caratteriale distintivo, profondamente radicato in questo contesto regionale, e sono ben evidenti ancora oggi.</w:t>
      </w:r>
    </w:p>
    <w:p>
      <w:r>
        <w:t>Sebbene l’arte e la letteratura siano relativamente immuni da questo isolamento ambientale e culturale — la Sardegna ha saputo produrre eminenti scrittori, scultori e musicisti — campi scientifici complessi come le scienze di base, la medicina, la bioingegneria e così via rimangono inesorabilmente condizionati da un tratto caratteriale tanto peculiare. La ricerca e lo sviluppo in medicina e nelle scienze biomediche richiedono invariabilmente apertura mentale e dialogo continuo con la comunità scientifica nazionale e internazionale. Ciò migliora le conoscenze fondamentali che consentiranno un accesso tempestivo a nuove tecnologie diagnostiche e terapeutiche e, più in generale, alle innovazioni. La diffidenza, il rifiuto del confronto con gli altri, la riluttanza a sottoporre le proprie competenze e i risultati prodotti a un vaglio critico e l’autoreferenzialità contribuiscono tutti al progressivo isolamento e all’arretratezza del sistema in diversi ambiti scientifici, in primo luogo la medicina.</w:t>
      </w:r>
    </w:p>
    <w:p>
      <w:r>
        <w:t>Come discusso sopra, è pacifico che il progressivo declino del sistema sanitario pubblico sardo, uno dei più ricchi d’Italia se si considera il numero ridotto di abitanti, non possa essere attribuito alla carenza di risorse economiche. Inoltre le politiche sanitarie attuate per un paio di decenni da successive Giunte regionali di diverso orientamento politico non hanno invertito la tendenza negativa, suggerendo che una comune mancanza di visione tecnico-politica e/o interferenze politiche locali possano essere determinanti critiche del fallimento del SSR. Un’ipotesi alternativa è che la consapevolezza della complessità tecnica del lavoro necessario a migliorare le prestazioni del SSR possa costituire la scusa nascosta dell’immobilismo politico</w:t>
      </w:r>
      <w:r>
        <w:rPr>
          <w:rStyle w:val="FootnoteReference"/>
        </w:rPr>
        <w:footnoteReference w:id="26"/>
      </w:r>
      <w:r>
        <w:t>.</w:t>
      </w:r>
    </w:p>
    <w:p>
      <w:pPr>
        <w:pStyle w:val="Heading2"/>
      </w:pPr>
      <w:r>
        <w:t>3.4 Politica ed equilibri locali</w:t>
      </w:r>
    </w:p>
    <w:p>
      <w:r>
        <w:t>Il peculiare carattere dei sardi e il contesto socioculturale hanno trasformato le necessarie e urgenti azioni trasversali di politica sanitaria in annunci politici approssimativi e frammentati, mirati soprattutto a ottenere consenso locale anziché tutelare la salute dei cittadini. Un esempio paradigmatico è costituito dalla pletora di postazioni di primo soccorso — 193 contro le 92 necessarie secondo le stime AgeNaS — realizzate dai politici locali in ogni comune sardo per raccogliere consenso elettorale, pur nella consapevolezza della grave carenza di personale sanitario necessario a garantirne l’effettivo funzionamento (Figura 3). Non sorprende, infatti, che oltre il 60% di queste strutture rimanga vuoto e inattivo.</w:t>
      </w:r>
    </w:p>
    <w:p>
      <w:r>
        <w:t>In Sardegna quasi tutti i politici eletti in Consiglio regionale si occupano di sanità, argomento politicamente strategico per il pubblico a cui si rivolge e per le risorse finanziarie gestibili. Purtroppo soltanto 4 dei 60 consiglieri dell’attuale governo regionale sono medici con competenze tecniche specifiche. Inoltre, e il dato merita riflessione, l’organizzazione dell’Assessorato regionale alla Sanità e alle Politiche sociali appare paradossale: circa 180 dipendenti, due direzioni generali, quattro direzioni di servizio, uno staff di gabinetto, ma nessun medico, salvo un consulente a tempo parziale. Anche farmacologi, biologi ed epidemiologi sono assenti o costituiscono figure isolate. È pacifico che in questo contesto sia quasi impossibile definire le necessarie azioni basate sulle evidenze per migliorare definitivamente il SSR sul piano strutturale e funzionale.</w:t>
      </w:r>
    </w:p>
    <w:p>
      <w:r>
        <w:t>La natura e la qualità delle politiche sanitarie attuate negli anni si possono facilmente desumere dall’attività deliberativa della Giunta regionale</w:t>
      </w:r>
      <w:r>
        <w:rPr>
          <w:rStyle w:val="FootnoteReference"/>
        </w:rPr>
        <w:footnoteReference w:id="27"/>
      </w:r>
      <w:r>
        <w:t>. Mancano politiche di qualità, intersettoriali e fondate su un’analisi tecnica e scientifica rigorosa, potenzialmente in grado di incidere sull’efficienza del SSR. Inoltre gli emendamenti proposti dai consiglieri regionali durante l’approvazione delle leggi finanziarie sono generalmente iniziative scoordinate e frammentate, finalizzate soprattutto a promuovere la visibilità politica dei gruppi consiliari nei rispettivi territori, ma molto lontane dall’obiettivo di affrontare i problemi strutturali urgenti del sistema sanitario regionale.</w:t>
      </w:r>
    </w:p>
    <w:p>
      <w:r>
        <w:t>Un paio di esempi possono chiarire questo punto critico:</w:t>
      </w:r>
    </w:p>
    <w:p>
      <w:r>
        <w:t>(a) Di recente sono stati stanziati fino a 10 milioni di euro per i cosiddetti «voucher sanitari», per consentire ai pazienti indigenti di sottoporsi a procedure endoscopiche gastrointestinali e ad altre prestazioni sanitarie, erogate esclusivamente da strutture sanitarie private del territorio, a spese della Regione.</w:t>
      </w:r>
    </w:p>
    <w:p>
      <w:r>
        <w:t>(b) Sono stati stanziati 600.000 euro per acquistare generiche terapie iperbariche, per le quali non esiste una lista d’attesa critica, anch’esse fornite da strutture private.</w:t>
      </w:r>
    </w:p>
    <w:p>
      <w:r>
        <w:t>(c) È stata istituita un’indennità regionale per la fibromialgia di 800 euro una tantum, destinata a rimborsare bisogni non definiti e non coperti dal SSR. Nel 2023 sono stati stanziati 5,1 milioni di euro per soddisfare 6.396 domande. Meno di un anno dopo sono stati necessari fino a 7,5 milioni di euro per coprire 9.392 domande. Il repentino aumento dei casi di fibromialgia in meno di un anno avrebbe meritato uno studio epidemiologico mirato, purtroppo non realizzabile perché «politicamente inopportuno». Queste e decine di iniziative simili, molto abili dal punto di vista elettorale nel raccogliere consenso politico, hanno purtroppo oscurato per l’ennesima volta le reali necessità sanitarie: per esempio il potenziamento della prevenzione oncologica, tristemente inadeguata nella regione [nel 2026 manca ancora il registro tumori regionale!</w:t>
      </w:r>
      <w:r>
        <w:rPr>
          <w:rStyle w:val="FootnoteReference"/>
        </w:rPr>
        <w:footnoteReference w:id="28"/>
      </w:r>
      <w:r>
        <w:t>].</w:t>
      </w:r>
    </w:p>
    <w:p>
      <w:r>
        <w:t>L’analisi dei dati raccolti sul campo in venti mesi di lavoro, dall’aprile 2024 al dicembre 2025, dimostra chiaramente lo stato critico del SSR: sono necessarie modifiche strutturali e funzionali urgenti e non rinviabili per invertirne finalmente il declino. È evidente anche l’isolamento professionale del personale sanitario, così come l’imbarazzante distanza culturale di una classe politica tecnicamente impreparata a rispondere adeguatamente alle richieste d’aiuto dei medici e dei cittadini sardi, ma molto abile nel costruire consenso intorno a sé.</w:t>
      </w:r>
    </w:p>
    <w:p>
      <w:r>
        <w:t>Fra le battaglie politiche più accese in Sardegna vi è la nomina dei direttori generali delle aziende sanitarie locali (ASL), incarichi da sempre fonte di aspri conflitti fra i partiti sardi. Appare più che evidente che un direttore generale di ASL nato in Sardegna, scelto dalla fazione politica dominante, sia molto più adatto a raccogliere consenso elettorale locale di un competente esperto esterno capace di risolvere razionalmente i problemi strutturali e funzionali delle strutture sanitarie che deve gestire.</w:t>
      </w:r>
    </w:p>
    <w:p>
      <w:r>
        <w:t>Da decenni i direttori generali delle ASL sono quasi tutti sardi, alcuni indubbiamente competenti, ma invariabilmente scelti attraverso estenuanti trattative fra la Giunta regionale e le fazioni politiche locali più influenti, a prescindere da qualsiasi competenza tecnico-scientifica. Ciò assicura la chiusura ermetica di un sistema relazionale complesso come la sanità, proteggendolo dai rischi di un rinnovamento politicamente ingestibile, soprattutto se proposto da «dominatori stranieri».</w:t>
      </w:r>
    </w:p>
    <w:p>
      <w:r>
        <w:t>Questo modus operandi, che ignora completamente i reali bisogni della salute pubblica, è tuttora in uso, e il suo impatto negativo sulle prestazioni del SSR è visibile e misurabile.</w:t>
      </w:r>
    </w:p>
    <w:p>
      <w:r>
        <w:t>Anche le associazioni dei pazienti in Sardegna sono politicamente molto attive. È più facile stanziare 7 milioni di euro a sostegno dei pazienti con fibromialgia, mediante un bonus sanitario liberamente spendibile e non soggetto a rendicontazione, che rinnovare le imbarazzanti sale operatorie non a norma dell’unico ospedale oncologico della Regione, per le quali erano già stati stanziati fondi vincolati del Piano nazionale di ripresa e resilienza europeo (NRRP nell’originale; qui PNRR). È stata sorprendente la dura protesta del 2025 di alcune associazioni di malati oncologici che chiedevano l’interruzione dei lavori!</w:t>
      </w:r>
    </w:p>
    <w:p>
      <w:r>
        <w:t>Probabilmente l’ammodernamento delle sale operatorie dell’ospedale oncologico non genera consenso politico immediato, benché possa risolvere diversi problemi strutturali, logistici e clinici dei pazienti oncologici che non possono più essere rinviati.</w:t>
      </w:r>
    </w:p>
    <w:p>
      <w:r>
        <w:t>Lo stanziamento di risorse per le strutture sanitarie private, per l’erogazione di esami diagnostici e altre prestazioni per conto del SSR, rappresenta un’altra importante e particolarmente costosa iniziativa attuata ogni anno dalla Regione, con l’obiettivo specifico di ridurre le liste d’attesa per i livelli essenziali di assistenza. A oggi i tetti di spesa per i laboratori privati accreditati, le strutture diagnostiche e gli ospedali privati sono stati chiaramente definiti, ma non sono mai stati indicati con precisione il tipo e il numero di prestazioni che dovrebbero fornire alla popolazione</w:t>
      </w:r>
      <w:r>
        <w:rPr>
          <w:rStyle w:val="FootnoteReference"/>
        </w:rPr>
        <w:footnoteReference w:id="29"/>
      </w:r>
      <w:r>
        <w:t>.</w:t>
      </w:r>
    </w:p>
    <w:p>
      <w:r>
        <w:t>Come corollario, appare chiaro che la gestione diretta delle politiche sanitarie locali riveste un interesse trasversale, essendo altamente redditizia in termini di consenso politico.</w:t>
      </w:r>
    </w:p>
    <w:p>
      <w:r>
        <w:t>Questo scenario potrebbe verosimilmente spiegare la perdurante inerzia di tutte le Giunte regionali succedutesi, le cui politiche non hanno mai portato alcun miglioramento oggettivo al SSR.</w:t>
      </w:r>
    </w:p>
    <w:p>
      <w:r>
        <w:t>È ormai evidente che una governance sanitaria svincolata dagli interessi politici locali è da molti anni assai sgradita in Sardegna, soprattutto in presenza di «dominatori stranieri» potenzialmente capaci di apportare i necessari aggiustamenti al sistema. Un approccio basato sulle evidenze non premia la politica del consenso, ma potrebbe verosimilmente essere utile per rivitalizzare il SSR.</w:t>
      </w:r>
    </w:p>
    <w:p>
      <w:pPr>
        <w:pStyle w:val="Heading1"/>
      </w:pPr>
      <w:r>
        <w:t>4 La proposta di riforma funzionale del SSR — legge regionale n. 8 dell’11 marzo 2025</w:t>
      </w:r>
    </w:p>
    <w:p>
      <w:r>
        <w:t>L’esigenza di una riforma strutturale e funzionale complessiva del SSR sardo appare ancora più necessaria quando si esaminano, da una prospettiva strettamente tecnica, le principali criticità emerse negli ultimi vent’anni e responsabili del suo progressivo declino (Tabella 2).</w:t>
      </w:r>
    </w:p>
    <w:p>
      <w:r>
        <w:t>Una recente proposta di riforma funzionale del SSR è stata presentata al Consiglio regionale con la legge n. 8 dell’11 marzo 2025</w:t>
      </w:r>
      <w:r>
        <w:rPr>
          <w:rStyle w:val="FootnoteReference"/>
        </w:rPr>
        <w:footnoteReference w:id="30"/>
      </w:r>
      <w:r>
        <w:t>.</w:t>
      </w:r>
    </w:p>
    <w:p>
      <w:r>
        <w:t>Le tre azioni proposte più significative erano:</w:t>
      </w:r>
    </w:p>
    <w:p>
      <w:r>
        <w:t>(1) Riorganizzare la medicina territoriale in base alla demografia e ai bisogni sanitari della popolazione sarda. Oltre al rinnovo degli accordi contrattuali con i medici di medicina generale e i pediatri, per gestire le patologie croniche fuori dall’ospedale è stata proposta l’istituzione di tre Centri di riferimento regionali (RC nell’originale), finalizzati a ottenere la massima prossimità delle cure in ciascun territorio: (i) il Centro per la salute mentale e le dipendenze; (ii) il Centro per la riabilitazione; (iii) il Centro per la prevenzione. Ciascun Centro funge da hub di coordinamento per i dipartimenti omologhi, o spoke, presenti nei territori. Questa strategia dovrebbe superare in misura consistente la visione ospedalocentrica della sanità, limitando l’accesso diretto agli ospedali ai pazienti con patologie acute ed emergenze complesse. Il modello appare coerente con l’esigenza di rafforzare la rete sanitaria territoriale a livello nazionale, creando le cosiddette Case della salute previste dal PNRR, finanziato da Next Generation EU con 2 miliardi di euro.</w:t>
      </w:r>
    </w:p>
    <w:p>
      <w:r>
        <w:t>(2) Creare reti ospedaliere hub e spoke che consentano a ospedali con vocazioni simili di fornire assistenza all’avanguardia, sfruttando le risorse già disponibili al loro interno e potenziandole dove necessario.</w:t>
      </w:r>
    </w:p>
    <w:p>
      <w:r>
        <w:t>Questa iniziativa ottimizza la presa in carico dei pazienti e la qualità delle cure, promuovendo una redistribuzione coerente e ottimale delle risorse umane e tecnologiche fra poche strutture ospedaliere ben organizzate. L’obiettivo è garantire un’assistenza completa ai pazienti con patologie specifiche, dal percorso diagnostico al follow-up. Questa organizzazione assicura la piena conformità alle linee guida dei percorsi diagnostico-terapeutici assistenziali.</w:t>
      </w:r>
    </w:p>
    <w:p>
      <w:r>
        <w:t>Per esempio, dopo un’accurata ricognizione delle competenze e delle tecnologie disponibili sul posto, sono stati individuati tre centri hub di chirurgia mammaria nel sud della regione, a Cagliari, nel centro-nord, a Nuoro, e nel nord-ovest, a Sassari. Le pazienti sarde con sospetto tumore mammario possono essere indirizzate direttamente a queste strutture e inserite tempestivamente nei percorsi diagnostico-terapeutici entro tempi appropriati</w:t>
      </w:r>
      <w:r>
        <w:rPr>
          <w:rStyle w:val="FootnoteReference"/>
        </w:rPr>
        <w:footnoteReference w:id="31"/>
      </w:r>
      <w:r>
        <w:t>. Sono finalmente eseguibili in Sardegna la diagnosi e l’asportazione chirurgica del tumore con contestuale ricostruzione mammaria, nonché la profilazione fenotipica e molecolare del tumore, che permette terapie oncologiche personalizzate. Fino alla fine del 2024 queste procedure non erano sempre garantite.</w:t>
      </w:r>
    </w:p>
    <w:p>
      <w:r>
        <w:t>Questa riorganizzazione funzionale può essere applicata ad altre patologie per consentire l’erogazione di servizi sanitari all’avanguardia, ottimizzando al contempo le risorse tecniche e umane e riducendo al minimo i costi della mobilità sanitaria extraregionale.</w:t>
      </w:r>
    </w:p>
    <w:p>
      <w:r>
        <w:t>(3) Riorganizzare razionalmente la governance delle ASL sulla base di una visione tecnica rigorosa e oggettiva, che non deve essere influenzata dagli interessi politici locali.</w:t>
      </w:r>
    </w:p>
    <w:p>
      <w:r>
        <w:t>Questo rappresenta il punto più critico della riforma, il più difficile da attuare in questo specifico contesto regionale. In altri termini significa «separare l’influenza politica locale e regionale dalle correzioni tecniche urgentemente necessarie al corretto funzionamento del SSR». A oggi, nonostante l’alternanza quinquennale di Giunte regionali con visioni politiche contrapposte, questo obiettivo è lontano dall’essere raggiunto.</w:t>
      </w:r>
    </w:p>
    <w:p>
      <w:pPr>
        <w:pStyle w:val="Heading1"/>
      </w:pPr>
      <w:r>
        <w:t>5 Conclusioni e prospettive future</w:t>
      </w:r>
    </w:p>
    <w:p>
      <w:r>
        <w:t>Per invertire la tendenza negativa del SSR è necessario un sostanziale cambiamento culturale nel rapporto fra sfera tecnica e sfera politica, che dovrebbero essere sempre più integrate anziché contrapposte.</w:t>
      </w:r>
    </w:p>
    <w:p>
      <w:r>
        <w:t>Sono in gioco lo sviluppo coerente e la sostenibilità del SSR, che deve confrontarsi dinamicamente con il progresso tecnico e scientifico. L’integrazione delle competenze tecniche a livello politico è imprescindibile e non può più essere ignorata, per garantire ai sardi un accesso rapido all’innovazione e a servizi sanitari all’avanguardia.</w:t>
      </w:r>
    </w:p>
    <w:p>
      <w:r>
        <w:t>Il sistema sanitario sardo è attualmente in ritardo di un decennio rispetto alle altre regioni italiane, a causa dell’isolamento culturale, dell’autocentratura, della riluttanza a far arrivare dal continente medici competenti per ricoprire posizioni apicali e creare scuole e, soprattutto, di un sistema politico che da tempo si dimostra abile nell’ottenere consenso immediato anziché risolvere strutturalmente i problemi sanitari dei cittadini.</w:t>
      </w:r>
    </w:p>
    <w:p>
      <w:r>
        <w:t>Le politiche sanitarie più importanti da adottare con urgenza dovrebbero comprendere:</w:t>
      </w:r>
    </w:p>
    <w:p>
      <w:r>
        <w:t>(a) Interventi per migliorare la medicina territoriale e assicurare un’assistenza locale ottimale ai pazienti cronici; (b) l’attuazione di nuove tecnologie, quali intelligenza artificiale e telemedicina, per ridurre le liste d’attesa e i ricoveri non necessari; (c) la promozione di un’integrazione sussidiaria virtuosa fra SSR e strutture sanitarie private accreditate per facilitare l’accesso ai servizi e ridurre le liste d’attesa; (d) investimenti nella prevenzione, nella medicina di genere e nell’approccio «One Health» all’assistenza sanitaria.</w:t>
      </w:r>
    </w:p>
    <w:p>
      <w:r>
        <w:t>Al tempo stesso sono necessarie azioni strutturali specifiche per migliorare l’efficienza degli ospedali regionali: (e) definire la missione o vocazione di ciascun ospedale, sviluppando competenze specifiche.</w:t>
      </w:r>
    </w:p>
    <w:p>
      <w:r>
        <w:t>(f) Creare una rete ospedaliera regionale secondo il modello hub e spoke per patologia, concentrando le casistiche e superando la dispersione geografica delle risorse umane e tecnologiche. (g) Promuovere le competenze e investire in ricerca e sviluppo dovrebbe essere la missione prioritaria delle aziende ospedaliero-universitarie (AOU), adeguatamente sostenute dalla Giunta regionale.</w:t>
      </w:r>
    </w:p>
    <w:p>
      <w:r>
        <w:t>In conclusione, sebbene alcune criticità descritte possano essere considerate comuni a tutte le regioni italiane, la condizione di insularità mette in evidenza quelle più rilevanti, senza effetti distorsivi. L’osservazione sul campo dei problemi che interessano il SSR sardo suggerisce con forza che sia giunto il momento di dare priorità alla sua riorganizzazione strutturale e funzionale, utilizzando un approccio rigoroso basato sulle evidenze. Questo obiettivo non sembra ancora alla portata di una classe politica disorientata e litigiosa che, da un lato, potrebbe usare la complessità come alibi per l’inconcludenza e, dall’altro, non comprende ancora che le buone politiche sanitarie dirette a tutelare la salute pubblica richiedono invariabilmente competenze tecniche di alto livello, decisioni basate sulle evidenze e consenso politico trasversale.</w:t>
      </w:r>
    </w:p>
    <w:p>
      <w:pPr>
        <w:pStyle w:val="Heading1"/>
      </w:pPr>
      <w:r>
        <w:t>Dichiarazione sulla disponibilità dei dati</w:t>
      </w:r>
    </w:p>
    <w:p>
      <w:r>
        <w:t>I dati grezzi a sostegno delle conclusioni di questo articolo saranno messi a disposizione dagli autori senza indebite riserve.</w:t>
      </w:r>
    </w:p>
    <w:p>
      <w:pPr>
        <w:pStyle w:val="Heading1"/>
      </w:pPr>
      <w:r>
        <w:t>Contributi dell’autore</w:t>
      </w:r>
    </w:p>
    <w:p>
      <w:r>
        <w:t>AB: analisi formale, supervisione, cura dei dati, metodologia, software, scrittura — revisione e cura editoriale, ideazione, indagine, scrittura — stesura originale.</w:t>
      </w:r>
    </w:p>
    <w:p>
      <w:pPr>
        <w:pStyle w:val="Heading1"/>
      </w:pPr>
      <w:r>
        <w:t>Finanziamento</w:t>
      </w:r>
    </w:p>
    <w:p>
      <w:r>
        <w:t>L’autore o gli autori hanno dichiarato di non aver ricevuto sostegno finanziario per questo lavoro e/o per la sua pubblicazione.</w:t>
      </w:r>
    </w:p>
    <w:p>
      <w:pPr>
        <w:pStyle w:val="Heading1"/>
      </w:pPr>
      <w:r>
        <w:t>Ringraziamenti</w:t>
      </w:r>
    </w:p>
    <w:p>
      <w:r>
        <w:t>Desidero ringraziare il personale dell’Assessorato alla Sanità e alle Politiche sociali della Regione Sardegna, nonché il direttore generale, i direttori di servizio e i membri dell’Ufficio di gabinetto per l’imponente lavoro svolto dall’aprile 2024 al dicembre 2025. Questo lavoro è dedicato alla memoria di Giovanni Deiana, uomo integro e competente che ha servito la Sardegna.</w:t>
      </w:r>
    </w:p>
    <w:p>
      <w:pPr>
        <w:pStyle w:val="Heading1"/>
      </w:pPr>
      <w:r>
        <w:t>Conflitto di interessi</w:t>
      </w:r>
    </w:p>
    <w:p>
      <w:r>
        <w:t>L’autore o gli autori hanno dichiarato che questo lavoro è stato svolto in assenza di rapporti commerciali o finanziari che possano essere interpretati come un potenziale conflitto di interessi.</w:t>
      </w:r>
    </w:p>
    <w:p>
      <w:pPr>
        <w:pStyle w:val="Heading1"/>
      </w:pPr>
      <w:r>
        <w:t>Dichiarazione sull’intelligenza artificiale generativa</w:t>
      </w:r>
    </w:p>
    <w:p>
      <w:r>
        <w:t>L’autore o gli autori hanno dichiarato di non aver utilizzato intelligenza artificiale generativa nella creazione di questo manoscritto.</w:t>
      </w:r>
    </w:p>
    <w:p>
      <w:r>
        <w:t>Qualsiasi testo alternativo che accompagni le figure di questo articolo è stato generato da Frontiers con il supporto dell’intelligenza artificiale; sono stati compiuti ragionevoli sforzi per assicurarne l’accuratezza, inclusa la revisione da parte degli autori ove possibile. Se si individuano problemi, si prega di contattarci.</w:t>
      </w:r>
    </w:p>
    <w:p>
      <w:pPr>
        <w:pStyle w:val="Heading1"/>
      </w:pPr>
      <w:r>
        <w:t>Nota dell’editore</w:t>
      </w:r>
    </w:p>
    <w:p>
      <w:r>
        <w:t>Tutte le affermazioni espresse in questo articolo sono esclusivamente degli autori e non rappresentano necessariamente quelle delle organizzazioni di affiliazione, né quelle dell’editore, dei curatori e dei revisori. Qualsiasi prodotto eventualmente valutato nell’articolo, o affermazione eventualmente formulata dal suo produttore, non è garantito né approvato dall’editore.</w:t>
      </w:r>
    </w:p>
    <w:p>
      <w:pPr>
        <w:pStyle w:val="Heading1"/>
      </w:pPr>
      <w:r>
        <w:t>Tabelle</w:t>
      </w:r>
    </w:p>
    <w:p>
      <w:pPr>
        <w:pStyle w:val="Heading2"/>
      </w:pPr>
      <w:r>
        <w:t>TABELLA 1 Posizione della Sardegna nel NOP (2005–2025): valutazione complessiva.</w:t>
      </w:r>
    </w:p>
    <w:tbl>
      <w:tblPr>
        <w:tblW w:type="auto" w:w="0"/>
        <w:tblLayout w:type="fixed"/>
        <w:tblLook w:firstColumn="1" w:firstRow="1" w:lastColumn="0" w:lastRow="0" w:noHBand="0" w:noVBand="1" w:val="04A0"/>
      </w:tblPr>
      <w:tblGrid>
        <w:gridCol w:w="792"/>
        <w:gridCol w:w="1224"/>
        <w:gridCol w:w="1440"/>
        <w:gridCol w:w="6480"/>
      </w:tblGrid>
      <w:tr>
        <w:trPr>
          <w:tblHeader/>
          <w:cantSplit/>
        </w:trPr>
        <w:tc>
          <w:tcPr>
            <w:tcW w:type="dxa" w:w="2484"/>
            <w:tcBorders>
              <w:top w:val="single" w:sz="4" w:color="D9D9D9"/>
              <w:left w:val="single" w:sz="4" w:color="D9D9D9"/>
              <w:bottom w:val="single" w:sz="4" w:color="D9D9D9"/>
              <w:right w:val="single" w:sz="4" w:color="D9D9D9"/>
            </w:tcBorders>
            <w:tcMar>
              <w:top w:w="90" w:type="dxa"/>
              <w:left w:w="90" w:type="dxa"/>
              <w:bottom w:w="90" w:type="dxa"/>
              <w:right w:w="90" w:type="dxa"/>
            </w:tcMar>
            <w:shd w:fill="E7E7E7"/>
          </w:tcPr>
          <w:p>
            <w:pPr>
              <w:spacing w:after="60"/>
            </w:pPr>
            <w:r>
              <w:rPr>
                <w:b/>
                <w:sz w:val="20"/>
              </w:rPr>
              <w:t>Anno</w:t>
            </w:r>
          </w:p>
        </w:tc>
        <w:tc>
          <w:tcPr>
            <w:tcW w:type="dxa" w:w="2484"/>
            <w:tcBorders>
              <w:top w:val="single" w:sz="4" w:color="D9D9D9"/>
              <w:left w:val="single" w:sz="4" w:color="D9D9D9"/>
              <w:bottom w:val="single" w:sz="4" w:color="D9D9D9"/>
              <w:right w:val="single" w:sz="4" w:color="D9D9D9"/>
            </w:tcBorders>
            <w:tcMar>
              <w:top w:w="90" w:type="dxa"/>
              <w:left w:w="90" w:type="dxa"/>
              <w:bottom w:w="90" w:type="dxa"/>
              <w:right w:w="90" w:type="dxa"/>
            </w:tcMar>
            <w:shd w:fill="E7E7E7"/>
          </w:tcPr>
          <w:p>
            <w:pPr>
              <w:spacing w:after="60"/>
            </w:pPr>
            <w:r>
              <w:rPr>
                <w:b/>
                <w:sz w:val="20"/>
              </w:rPr>
              <w:t>Posizione</w:t>
            </w:r>
          </w:p>
        </w:tc>
        <w:tc>
          <w:tcPr>
            <w:tcW w:type="dxa" w:w="2484"/>
            <w:tcBorders>
              <w:top w:val="single" w:sz="4" w:color="D9D9D9"/>
              <w:left w:val="single" w:sz="4" w:color="D9D9D9"/>
              <w:bottom w:val="single" w:sz="4" w:color="D9D9D9"/>
              <w:right w:val="single" w:sz="4" w:color="D9D9D9"/>
            </w:tcBorders>
            <w:tcMar>
              <w:top w:w="90" w:type="dxa"/>
              <w:left w:w="90" w:type="dxa"/>
              <w:bottom w:w="90" w:type="dxa"/>
              <w:right w:w="90" w:type="dxa"/>
            </w:tcMar>
            <w:shd w:fill="E7E7E7"/>
          </w:tcPr>
          <w:p>
            <w:pPr>
              <w:spacing w:after="60"/>
            </w:pPr>
            <w:r>
              <w:rPr>
                <w:b/>
                <w:sz w:val="20"/>
              </w:rPr>
              <w:t>Valutazione</w:t>
            </w:r>
          </w:p>
        </w:tc>
        <w:tc>
          <w:tcPr>
            <w:tcW w:type="dxa" w:w="2484"/>
            <w:tcBorders>
              <w:top w:val="single" w:sz="4" w:color="D9D9D9"/>
              <w:left w:val="single" w:sz="4" w:color="D9D9D9"/>
              <w:bottom w:val="single" w:sz="4" w:color="D9D9D9"/>
              <w:right w:val="single" w:sz="4" w:color="D9D9D9"/>
            </w:tcBorders>
            <w:tcMar>
              <w:top w:w="90" w:type="dxa"/>
              <w:left w:w="90" w:type="dxa"/>
              <w:bottom w:w="90" w:type="dxa"/>
              <w:right w:w="90" w:type="dxa"/>
            </w:tcMar>
            <w:shd w:fill="E7E7E7"/>
          </w:tcPr>
          <w:p>
            <w:pPr>
              <w:spacing w:after="60"/>
            </w:pPr>
            <w:r>
              <w:rPr>
                <w:b/>
                <w:sz w:val="20"/>
              </w:rPr>
              <w:t>Note principali</w:t>
            </w:r>
          </w:p>
        </w:tc>
      </w:tr>
      <w:tr>
        <w:trPr>
          <w:cantSplit/>
        </w:trPr>
        <w:tc>
          <w:tcPr>
            <w:tcW w:type="dxa" w:w="79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2005</w:t>
            </w:r>
          </w:p>
        </w:tc>
        <w:tc>
          <w:tcPr>
            <w:tcW w:type="dxa" w:w="122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14°</w:t>
            </w:r>
          </w:p>
        </w:tc>
        <w:tc>
          <w:tcPr>
            <w:tcW w:type="dxa" w:w="144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Media</w:t>
            </w:r>
          </w:p>
        </w:tc>
        <w:tc>
          <w:tcPr>
            <w:tcW w:type="dxa" w:w="648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NOP appena attivato, dati prevalentemente quantitativi; pochi dati sugli esiti.</w:t>
              <w:br/>
              <w:t>• Criticità nella mortalità a 30 giorni per infarto miocardico acuto e nei tempi di trattamento delle fratture del femore.</w:t>
            </w:r>
          </w:p>
        </w:tc>
      </w:tr>
      <w:tr>
        <w:trPr>
          <w:cantSplit/>
        </w:trPr>
        <w:tc>
          <w:tcPr>
            <w:tcW w:type="dxa" w:w="79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2010</w:t>
            </w:r>
          </w:p>
        </w:tc>
        <w:tc>
          <w:tcPr>
            <w:tcW w:type="dxa" w:w="122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16°</w:t>
            </w:r>
          </w:p>
        </w:tc>
        <w:tc>
          <w:tcPr>
            <w:tcW w:type="dxa" w:w="144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Medio-bassa</w:t>
            </w:r>
          </w:p>
        </w:tc>
        <w:tc>
          <w:tcPr>
            <w:tcW w:type="dxa" w:w="648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Bassi volumi di chirurgia oncologica.</w:t>
              <w:br/>
              <w:t>• Elevata mobilità passiva dei pazienti verso Lazio e Lombardia.</w:t>
            </w:r>
          </w:p>
        </w:tc>
      </w:tr>
      <w:tr>
        <w:trPr>
          <w:cantSplit/>
        </w:trPr>
        <w:tc>
          <w:tcPr>
            <w:tcW w:type="dxa" w:w="79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2015</w:t>
            </w:r>
          </w:p>
        </w:tc>
        <w:tc>
          <w:tcPr>
            <w:tcW w:type="dxa" w:w="122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17°</w:t>
            </w:r>
          </w:p>
        </w:tc>
        <w:tc>
          <w:tcPr>
            <w:tcW w:type="dxa" w:w="144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Medio-bassa</w:t>
            </w:r>
          </w:p>
        </w:tc>
        <w:tc>
          <w:tcPr>
            <w:tcW w:type="dxa" w:w="648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Problemi di tempestività della chirurgia del femore, tagli cesarei e mortalità per scompenso cardiaco.</w:t>
            </w:r>
          </w:p>
        </w:tc>
      </w:tr>
      <w:tr>
        <w:trPr>
          <w:cantSplit/>
        </w:trPr>
        <w:tc>
          <w:tcPr>
            <w:tcW w:type="dxa" w:w="79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2020</w:t>
            </w:r>
          </w:p>
        </w:tc>
        <w:tc>
          <w:tcPr>
            <w:tcW w:type="dxa" w:w="122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18°</w:t>
            </w:r>
          </w:p>
        </w:tc>
        <w:tc>
          <w:tcPr>
            <w:tcW w:type="dxa" w:w="144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Bassa</w:t>
            </w:r>
          </w:p>
        </w:tc>
        <w:tc>
          <w:tcPr>
            <w:tcW w:type="dxa" w:w="648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Forte impatto del COVID.</w:t>
              <w:br/>
              <w:t>Tutti gli indicatori peggiorano.</w:t>
            </w:r>
          </w:p>
        </w:tc>
      </w:tr>
      <w:tr>
        <w:trPr>
          <w:cantSplit/>
        </w:trPr>
        <w:tc>
          <w:tcPr>
            <w:tcW w:type="dxa" w:w="79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2025</w:t>
            </w:r>
          </w:p>
        </w:tc>
        <w:tc>
          <w:tcPr>
            <w:tcW w:type="dxa" w:w="122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17°–19° (dati 2023–2024)</w:t>
            </w:r>
          </w:p>
        </w:tc>
        <w:tc>
          <w:tcPr>
            <w:tcW w:type="dxa" w:w="144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Medio-bassa</w:t>
            </w:r>
          </w:p>
        </w:tc>
        <w:tc>
          <w:tcPr>
            <w:tcW w:type="dxa" w:w="6480"/>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Lieve ripresa dopo il COVID, ma criticità nei settori ad alto impatto:</w:t>
              <w:br/>
              <w:t>• Area cardiovascolare: mortalità a 30 giorni per infarto miocardico acuto: Sardegna 9,8%; media italiana 8,3%.</w:t>
              <w:br/>
              <w:t>• Assistenza muscoloscheletrica: trattamento della frattura del femore entro 2 giorni: Sardegna 52%; media italiana 68%.</w:t>
              <w:br/>
              <w:t>• Assistenza perinatale: tagli cesarei: Sardegna 32,1%; media italiana 21,7%.</w:t>
              <w:br/>
              <w:t>• Volumi di chirurgia oncologica: interventi su mammella, colon e polmone sotto la soglia minima nella maggior parte degli ospedali.</w:t>
            </w:r>
          </w:p>
        </w:tc>
      </w:tr>
    </w:tbl>
    <w:p>
      <w:r>
        <w:t>Fonte della Tabella 1: 8° Rapporto GIMBE sul Servizio sanitario nazionale</w:t>
      </w:r>
      <w:r>
        <w:rPr>
          <w:rStyle w:val="FootnoteReference"/>
        </w:rPr>
        <w:footnoteReference w:id="32"/>
      </w:r>
      <w:r>
        <w:t>.</w:t>
      </w:r>
    </w:p>
    <w:p>
      <w:pPr>
        <w:pStyle w:val="Heading2"/>
      </w:pPr>
      <w:r>
        <w:t>TABELLA 2 Principali criticità che incidono sul SSR sardo.</w:t>
      </w:r>
    </w:p>
    <w:tbl>
      <w:tblPr>
        <w:tblW w:type="auto" w:w="0"/>
        <w:tblLayout w:type="fixed"/>
        <w:tblLook w:firstColumn="1" w:firstRow="1" w:lastColumn="0" w:lastRow="0" w:noHBand="0" w:noVBand="1" w:val="04A0"/>
      </w:tblPr>
      <w:tblGrid>
        <w:gridCol w:w="2304"/>
        <w:gridCol w:w="7632"/>
      </w:tblGrid>
      <w:tr>
        <w:trPr>
          <w:tblHeader/>
          <w:cantSplit/>
        </w:trPr>
        <w:tc>
          <w:tcPr>
            <w:tcW w:type="dxa" w:w="4968"/>
            <w:tcBorders>
              <w:top w:val="single" w:sz="4" w:color="D9D9D9"/>
              <w:left w:val="single" w:sz="4" w:color="D9D9D9"/>
              <w:bottom w:val="single" w:sz="4" w:color="D9D9D9"/>
              <w:right w:val="single" w:sz="4" w:color="D9D9D9"/>
            </w:tcBorders>
            <w:tcMar>
              <w:top w:w="90" w:type="dxa"/>
              <w:left w:w="90" w:type="dxa"/>
              <w:bottom w:w="90" w:type="dxa"/>
              <w:right w:w="90" w:type="dxa"/>
            </w:tcMar>
            <w:shd w:fill="E7E7E7"/>
          </w:tcPr>
          <w:p>
            <w:pPr>
              <w:spacing w:after="60"/>
            </w:pPr>
            <w:r>
              <w:rPr>
                <w:b/>
                <w:sz w:val="20"/>
              </w:rPr>
              <w:t>Ambito</w:t>
            </w:r>
          </w:p>
        </w:tc>
        <w:tc>
          <w:tcPr>
            <w:tcW w:type="dxa" w:w="4968"/>
            <w:tcBorders>
              <w:top w:val="single" w:sz="4" w:color="D9D9D9"/>
              <w:left w:val="single" w:sz="4" w:color="D9D9D9"/>
              <w:bottom w:val="single" w:sz="4" w:color="D9D9D9"/>
              <w:right w:val="single" w:sz="4" w:color="D9D9D9"/>
            </w:tcBorders>
            <w:tcMar>
              <w:top w:w="90" w:type="dxa"/>
              <w:left w:w="90" w:type="dxa"/>
              <w:bottom w:w="90" w:type="dxa"/>
              <w:right w:w="90" w:type="dxa"/>
            </w:tcMar>
            <w:shd w:fill="E7E7E7"/>
          </w:tcPr>
          <w:p>
            <w:pPr>
              <w:spacing w:after="60"/>
            </w:pPr>
            <w:r>
              <w:rPr>
                <w:b/>
                <w:sz w:val="20"/>
              </w:rPr>
              <w:t>Criticità</w:t>
            </w:r>
          </w:p>
        </w:tc>
      </w:tr>
      <w:tr>
        <w:trPr>
          <w:cantSplit/>
        </w:trPr>
        <w:tc>
          <w:tcPr>
            <w:tcW w:type="dxa" w:w="230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Criticità nella medicina territoriale</w:t>
            </w:r>
          </w:p>
        </w:tc>
        <w:tc>
          <w:tcPr>
            <w:tcW w:type="dxa" w:w="763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Carenza di medici di medicina generale e pediatri.</w:t>
              <w:br/>
              <w:t>• Scarsa efficienza nella presa in carico delle patologie croniche.</w:t>
              <w:br/>
              <w:t>• Carenza di prevenzione.</w:t>
            </w:r>
          </w:p>
        </w:tc>
      </w:tr>
      <w:tr>
        <w:trPr>
          <w:cantSplit/>
        </w:trPr>
        <w:tc>
          <w:tcPr>
            <w:tcW w:type="dxa" w:w="230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Criticità negli ospedali locali regionali</w:t>
            </w:r>
          </w:p>
        </w:tc>
        <w:tc>
          <w:tcPr>
            <w:tcW w:type="dxa" w:w="763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Servizi sanitari ridondanti e di scarsa qualità.</w:t>
              <w:br/>
              <w:t>• Assenza di una rete ospedaliera regionale.</w:t>
              <w:br/>
              <w:t>• Assenza di ospedali con missione o vocazione ben definita.</w:t>
              <w:br/>
              <w:t>• Assenza di un’organizzazione hub e spoke per l’assistenza completa.</w:t>
              <w:br/>
              <w:t>• Assenza di strutture centrali per diagnosi e terapia delle malattie complesse.</w:t>
              <w:br/>
              <w:t>• Dispersione delle casistiche; ospedali poco attrattivi per i medici specialisti.</w:t>
              <w:br/>
              <w:t>• Criticità operative nella chirurgia maggiore e nell’assistenza in emergenza.</w:t>
              <w:br/>
              <w:t>• Lunghe liste d’attesa.</w:t>
            </w:r>
          </w:p>
        </w:tc>
      </w:tr>
      <w:tr>
        <w:trPr>
          <w:cantSplit/>
        </w:trPr>
        <w:tc>
          <w:tcPr>
            <w:tcW w:type="dxa" w:w="230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Criticità nelle aziende ospedaliero-universitarie e negli ospedali metropolitani</w:t>
            </w:r>
          </w:p>
        </w:tc>
        <w:tc>
          <w:tcPr>
            <w:tcW w:type="dxa" w:w="763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Perdita di scuole mediche di formazione cruciali per il SSR [formulazione inglese poco chiara].</w:t>
              <w:br/>
              <w:t>• Assenza di un ospedale di riferimento regionale per pediatria e malattie rare (IRCCS).</w:t>
              <w:br/>
              <w:t>• Ricerca traslazionale limitata nelle scienze biomediche e in medicina.</w:t>
            </w:r>
          </w:p>
        </w:tc>
      </w:tr>
      <w:tr>
        <w:trPr>
          <w:cantSplit/>
        </w:trPr>
        <w:tc>
          <w:tcPr>
            <w:tcW w:type="dxa" w:w="2304"/>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Criticità nelle politiche sanitarie</w:t>
            </w:r>
          </w:p>
        </w:tc>
        <w:tc>
          <w:tcPr>
            <w:tcW w:type="dxa" w:w="7632"/>
            <w:tcBorders>
              <w:top w:val="single" w:sz="4" w:color="D9D9D9"/>
              <w:left w:val="single" w:sz="4" w:color="D9D9D9"/>
              <w:bottom w:val="single" w:sz="4" w:color="D9D9D9"/>
              <w:right w:val="single" w:sz="4" w:color="D9D9D9"/>
            </w:tcBorders>
            <w:tcMar>
              <w:top w:w="90" w:type="dxa"/>
              <w:left w:w="90" w:type="dxa"/>
              <w:bottom w:w="90" w:type="dxa"/>
              <w:right w:w="90" w:type="dxa"/>
            </w:tcMar>
          </w:tcPr>
          <w:p>
            <w:pPr>
              <w:spacing w:after="60"/>
            </w:pPr>
            <w:r>
              <w:rPr>
                <w:b w:val="0"/>
                <w:sz w:val="20"/>
              </w:rPr>
              <w:t>• Politiche sanitarie trasversali e basate sulle evidenze scarse o assenti.</w:t>
              <w:br/>
              <w:t>• Finanziamenti assegnati a iniziative sanitarie prive di visione e non funzionali al SSR.</w:t>
              <w:br/>
              <w:t>• Politiche sanitarie locali e regionali adottate soprattutto per ottenere consenso elettorale.</w:t>
              <w:br/>
              <w:t>• Assenza strutturale di medici, biologi, farmacologi ed epidemiologi nell’Assessorato regionale alla Sanità.</w:t>
            </w:r>
          </w:p>
        </w:tc>
      </w:tr>
    </w:tbl>
    <w:p>
      <w:r>
        <w:br w:type="page"/>
      </w:r>
    </w:p>
    <w:p>
      <w:pPr>
        <w:pStyle w:val="Heading1"/>
      </w:pPr>
      <w:r>
        <w:t>Figure</w:t>
      </w:r>
    </w:p>
    <w:p>
      <w:pPr>
        <w:pStyle w:val="Heading2"/>
      </w:pPr>
      <w:r>
        <w:t>Figura 1</w:t>
      </w:r>
    </w:p>
    <w:p>
      <w:pPr>
        <w:keepNext/>
      </w:pPr>
      <w:r>
        <w:drawing>
          <wp:inline xmlns:a="http://schemas.openxmlformats.org/drawingml/2006/main" xmlns:pic="http://schemas.openxmlformats.org/drawingml/2006/picture">
            <wp:extent cx="6309360" cy="2913961"/>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6309360" cy="2913961"/>
                    </a:xfrm>
                    <a:prstGeom prst="rect"/>
                  </pic:spPr>
                </pic:pic>
              </a:graphicData>
            </a:graphic>
          </wp:inline>
        </w:drawing>
      </w:r>
    </w:p>
    <w:p>
      <w:pPr>
        <w:keepNext/>
        <w:keepLines/>
      </w:pPr>
      <w:r>
        <w:t>FIGURA 1 Distribuzione regionale degli ospedali di riferimento di alta qualità per alcune branche mediche ad alto impatto. Anche nel settore cardiovascolare non sono rilevati ospedali di riferimento in Sardegna (dati non mostrati). È indicato soltanto un centro di riferimento per la neurologia nel territorio nord-occidentale (dati non mostrati). Dal Rapporto annuale 2025 (NOP) dell’Agenzia nazionale per i servizi sanitari regionali (AgeNaS), Ministero della Salute italiano [modificato; https://www.agenas.gov.it e https://pne.agenas.it/home; rif.</w:t>
      </w:r>
      <w:r>
        <w:rPr>
          <w:rStyle w:val="FootnoteReference"/>
        </w:rPr>
        <w:footnoteReference w:id="33"/>
      </w:r>
      <w:r>
        <w:t>].</w:t>
      </w:r>
    </w:p>
    <w:p>
      <w:r>
        <w:t>Scritte nella figura: distribuzione regionale degli ospedali di riferimento di alta qualità per alcune branche mediche ad alto impatto; gravidanza e parto; chirurgia oncologica; ortopedia.</w:t>
      </w:r>
    </w:p>
    <w:p>
      <w:r>
        <w:br w:type="page"/>
      </w:r>
    </w:p>
    <w:p>
      <w:pPr>
        <w:pStyle w:val="Heading2"/>
      </w:pPr>
      <w:r>
        <w:t>Figura 2</w:t>
      </w:r>
    </w:p>
    <w:p>
      <w:pPr>
        <w:keepNext/>
      </w:pPr>
      <w:r>
        <w:drawing>
          <wp:inline xmlns:a="http://schemas.openxmlformats.org/drawingml/2006/main" xmlns:pic="http://schemas.openxmlformats.org/drawingml/2006/picture">
            <wp:extent cx="6309360" cy="3902174"/>
            <wp:docPr id="2" name="Picture 2"/>
            <wp:cNvGraphicFramePr>
              <a:graphicFrameLocks noChangeAspect="1"/>
            </wp:cNvGraphicFramePr>
            <a:graphic>
              <a:graphicData uri="http://schemas.openxmlformats.org/drawingml/2006/picture">
                <pic:pic>
                  <pic:nvPicPr>
                    <pic:cNvPr id="0" name="image.png"/>
                    <pic:cNvPicPr/>
                  </pic:nvPicPr>
                  <pic:blipFill>
                    <a:blip r:embed="rId10"/>
                    <a:stretch>
                      <a:fillRect/>
                    </a:stretch>
                  </pic:blipFill>
                  <pic:spPr>
                    <a:xfrm>
                      <a:off x="0" y="0"/>
                      <a:ext cx="6309360" cy="3902174"/>
                    </a:xfrm>
                    <a:prstGeom prst="rect"/>
                  </pic:spPr>
                </pic:pic>
              </a:graphicData>
            </a:graphic>
          </wp:inline>
        </w:drawing>
      </w:r>
    </w:p>
    <w:p>
      <w:pPr>
        <w:keepNext/>
        <w:keepLines/>
      </w:pPr>
      <w:r>
        <w:t>FIGURA 2 Rinuncia alle cure della popolazione italiana nelle diverse regioni (8° Rapporto GIMBE sul Servizio sanitario nazionale, anno 2024; GIMBE: Gruppo italiano per la medicina basata sulle evidenze) [modificato; https://www.salviamo-ssn.it/attivita/rapporto/8-rapporto-gimbe; rif.</w:t>
      </w:r>
      <w:r>
        <w:rPr>
          <w:rStyle w:val="FootnoteReference"/>
        </w:rPr>
        <w:footnoteReference w:id="34"/>
      </w:r>
      <w:r>
        <w:t>].</w:t>
      </w:r>
    </w:p>
    <w:p>
      <w:r>
        <w:t>Scritte nella figura: percentuale di rinuncia alle cure. I nomi delle regioni sono riportati nell’immagine originale.</w:t>
      </w:r>
    </w:p>
    <w:p>
      <w:r>
        <w:br w:type="page"/>
      </w:r>
    </w:p>
    <w:p>
      <w:pPr>
        <w:pStyle w:val="Heading2"/>
      </w:pPr>
      <w:r>
        <w:t>Figura 3</w:t>
      </w:r>
    </w:p>
    <w:p>
      <w:pPr>
        <w:keepNext/>
      </w:pPr>
      <w:r>
        <w:drawing>
          <wp:inline xmlns:a="http://schemas.openxmlformats.org/drawingml/2006/main" xmlns:pic="http://schemas.openxmlformats.org/drawingml/2006/picture">
            <wp:extent cx="6309360" cy="3319382"/>
            <wp:docPr id="3" name="Picture 3"/>
            <wp:cNvGraphicFramePr>
              <a:graphicFrameLocks noChangeAspect="1"/>
            </wp:cNvGraphicFramePr>
            <a:graphic>
              <a:graphicData uri="http://schemas.openxmlformats.org/drawingml/2006/picture">
                <pic:pic>
                  <pic:nvPicPr>
                    <pic:cNvPr id="0" name="image.png"/>
                    <pic:cNvPicPr/>
                  </pic:nvPicPr>
                  <pic:blipFill>
                    <a:blip r:embed="rId11"/>
                    <a:stretch>
                      <a:fillRect/>
                    </a:stretch>
                  </pic:blipFill>
                  <pic:spPr>
                    <a:xfrm>
                      <a:off x="0" y="0"/>
                      <a:ext cx="6309360" cy="3319382"/>
                    </a:xfrm>
                    <a:prstGeom prst="rect"/>
                  </pic:spPr>
                </pic:pic>
              </a:graphicData>
            </a:graphic>
          </wp:inline>
        </w:drawing>
      </w:r>
    </w:p>
    <w:p>
      <w:pPr>
        <w:keepNext/>
        <w:keepLines/>
      </w:pPr>
      <w:r>
        <w:t>FIGURA 3 Distribuzione delle guardie mediche e dei punti di primo soccorso ridondanti e non funzionanti in Sardegna (dati AgeNaS, Agenzia nazionale per i servizi sanitari regionali, e Assessorato regionale alla Sanità–ASL, Sardegna; in blu i punti di primo soccorso attivati lungo la costa durante l’estate).</w:t>
      </w:r>
    </w:p>
    <w:p>
      <w:r>
        <w:t>Scritte nella figura: distribuzione delle guardie mediche e dei punti di primo soccorso in Sardegna.</w:t>
      </w:r>
    </w:p>
    <w:p>
      <w:pPr>
        <w:pStyle w:val="Heading1"/>
      </w:pPr>
      <w:r>
        <w:t>Dati editoriali e licenza</w:t>
      </w:r>
    </w:p>
    <w:p>
      <w:r>
        <w:t>TIPO Studio di caso di comunità</w:t>
        <w:br/>
        <w:t>PUBBLICATO 18 agosto 2026</w:t>
        <w:br/>
        <w:t>DOI 10.3389/fpubh.2026.1864788</w:t>
        <w:br/>
        <w:t>ACCESSO APERTO</w:t>
      </w:r>
    </w:p>
    <w:p>
      <w:r>
        <w:t>A CURA DI</w:t>
        <w:br/>
        <w:t>Faris Lami, Università di Baghdad, Iraq</w:t>
        <w:br/>
        <w:t>REVISIONATO DA</w:t>
        <w:br/>
        <w:t>Walter Malorni, Istituto superiore di sanità (ISS), Italia</w:t>
        <w:br/>
        <w:t>Alice Corsaro, Università di Modena e Reggio Emilia, Italia</w:t>
      </w:r>
    </w:p>
    <w:p>
      <w:r>
        <w:t>*CORRISPONDENZA</w:t>
        <w:br/>
        <w:t>Armando Bartolazzi</w:t>
        <w:br/>
        <w:t>armando.bartolazzi@gmail.com</w:t>
        <w:br/>
        <w:t>RICEVUTO 24 aprile 2026</w:t>
        <w:br/>
        <w:t>REVISIONATO 27 luglio 2026</w:t>
        <w:br/>
        <w:t>ACCETTATO 3 agosto 2026</w:t>
        <w:br/>
        <w:t>PUBBLICATO 18 agosto 2026</w:t>
      </w:r>
    </w:p>
    <w:p>
      <w:r>
        <w:t>CITAZIONE</w:t>
        <w:br/>
        <w:t>Bartolazzi A (2026) Insularità, tratti caratteriali e interferenze politiche locali: i fattori decisivi del progressivo declino del servizio sanitario regionale della Sardegna. Front. Public Health 14:1864788. doi: 10.3389/fpubh.2026.1864788</w:t>
      </w:r>
    </w:p>
    <w:p>
      <w:r>
        <w:t>DIRITTO D’AUTORE</w:t>
        <w:br/>
        <w:t>© 2026 Bartolazzi. Questo è un articolo ad accesso aperto distribuito secondo i termini della licenza Creative Commons Attribution (CC BY). Sono consentiti uso, distribuzione e riproduzione in altre sedi, purché siano attribuiti i dovuti crediti agli autori originali e ai titolari del diritto d’autore e sia citata la pubblicazione originale in questa rivista, conformemente alla prassi accademica riconosciuta. Non sono consentiti usi, distribuzioni o riproduzioni che non rispettino questi termini.</w:t>
      </w:r>
    </w:p>
    <w:sectPr w:rsidR="00FC693F" w:rsidRPr="0006063C" w:rsidSect="00034616">
      <w:footerReference w:type="default" r:id="rId12"/>
      <w:pgSz w:w="12240" w:h="15840"/>
      <w:pgMar w:top="1008" w:right="1152" w:bottom="93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fldSimple w:instr="PAGE"/>
  </w:p>
</w:ftr>
</file>

<file path=word/footnotes.xml><?xml version="1.0" encoding="utf-8"?>
<w:footnotes xmlns:w="http://schemas.openxmlformats.org/wordprocessingml/2006/main">
  <w:footnote w:id="-1" w:type="separator">
    <w:p>
      <w:r>
        <w:separator/>
      </w:r>
    </w:p>
  </w:footnote>
  <w:footnote w:id="0" w:type="continuationSeparator">
    <w:p>
      <w:r>
        <w:continuationSeparator/>
      </w:r>
    </w:p>
  </w:footnote>
  <w:footnote w:id="1">
    <w:p>
      <w:pPr>
        <w:pStyle w:val="FootnoteText"/>
      </w:pPr>
      <w:r>
        <w:rPr>
          <w:rStyle w:val="FootnoteReference"/>
        </w:rPr>
        <w:footnoteRef/>
      </w:r>
      <w:r>
        <w:t xml:space="preserve"> Rif. 1 dell’originale: Poulain M, Pes GM, Grasland C. Identificazione di un’area geografica caratterizzata da longevità estrema nell’isola di Sardegna. Exp. Gerontol. (2004) 39:1423–9. doi: 10.1016/j.exger.2004.06.016</w:t>
      </w:r>
    </w:p>
  </w:footnote>
  <w:footnote w:id="2">
    <w:p>
      <w:pPr>
        <w:pStyle w:val="FootnoteText"/>
      </w:pPr>
      <w:r>
        <w:rPr>
          <w:rStyle w:val="FootnoteReference"/>
        </w:rPr>
        <w:footnoteRef/>
      </w:r>
      <w:r>
        <w:t xml:space="preserve"> Rif. 2 dell’originale: Programma nazionale esiti. AgeNaS e Ministero della Salute italiano. (2025). Disponibile online: https://www.agenas.gov.it and https://pne.agenas.it/home (consultato il 4 luglio 2026).</w:t>
      </w:r>
    </w:p>
  </w:footnote>
  <w:footnote w:id="3">
    <w:p>
      <w:pPr>
        <w:pStyle w:val="FootnoteText"/>
      </w:pPr>
      <w:r>
        <w:rPr>
          <w:rStyle w:val="FootnoteReference"/>
        </w:rPr>
        <w:footnoteRef/>
      </w:r>
      <w:r>
        <w:t xml:space="preserve"> Rif. 3 dell’originale: 8° Rapporto GIMBE sul Servizio sanitario nazionale (2025). Disponibile online: https://www.salviamo-ssn.it/attivita/rapporto/8-rapporto-gimbe (consultato il 4 luglio 2026).</w:t>
      </w:r>
    </w:p>
  </w:footnote>
  <w:footnote w:id="4">
    <w:p>
      <w:pPr>
        <w:pStyle w:val="FootnoteText"/>
      </w:pPr>
      <w:r>
        <w:rPr>
          <w:rStyle w:val="FootnoteReference"/>
        </w:rPr>
        <w:footnoteRef/>
      </w:r>
      <w:r>
        <w:t xml:space="preserve"> Rif. 4 dell’originale: Watkins DA, Jamison DT, Mills T. «Copertura sanitaria universale e pacchetti essenziali di assistenza». In: Jamison DT, Gelband H, Horton S, Jha P and Laxminarayan R, editors. Priorità nel controllo delle malattie: migliorare la salute e ridurre la povertà, 3ª ed. Washington (DC): The International Bank for Reconstruction and Development/ The World Bank (2017)</w:t>
      </w:r>
    </w:p>
  </w:footnote>
  <w:footnote w:id="5">
    <w:p>
      <w:pPr>
        <w:pStyle w:val="FootnoteText"/>
      </w:pPr>
      <w:r>
        <w:rPr>
          <w:rStyle w:val="FootnoteReference"/>
        </w:rPr>
        <w:footnoteRef/>
      </w:r>
      <w:r>
        <w:t xml:space="preserve"> Rif. 2 dell’originale: si veda la nota 2.</w:t>
      </w:r>
    </w:p>
    <w:p>
      <w:pPr>
        <w:pStyle w:val="FootnoteText"/>
      </w:pPr>
      <w:r>
        <w:t xml:space="preserve">Rif. 3 dell’originale: si veda la nota 3.</w:t>
      </w:r>
    </w:p>
  </w:footnote>
  <w:footnote w:id="6">
    <w:p>
      <w:pPr>
        <w:pStyle w:val="FootnoteText"/>
      </w:pPr>
      <w:r>
        <w:rPr>
          <w:rStyle w:val="FootnoteReference"/>
        </w:rPr>
        <w:footnoteRef/>
      </w:r>
      <w:r>
        <w:t xml:space="preserve"> Rif. 2 dell’originale: si veda la nota 2.</w:t>
      </w:r>
    </w:p>
  </w:footnote>
  <w:footnote w:id="7">
    <w:p>
      <w:pPr>
        <w:pStyle w:val="FootnoteText"/>
      </w:pPr>
      <w:r>
        <w:rPr>
          <w:rStyle w:val="FootnoteReference"/>
        </w:rPr>
        <w:footnoteRef/>
      </w:r>
      <w:r>
        <w:t xml:space="preserve"> Rif. 5 dell’originale: Rapporto dell’Osservatorio GIMBE n. 7/2024 sulla mobilità sanitaria interregionale (2024). Disponibile online: https://www.gimbe.org (consultato il 4 luglio 2026).</w:t>
      </w:r>
    </w:p>
  </w:footnote>
  <w:footnote w:id="8">
    <w:p>
      <w:pPr>
        <w:pStyle w:val="FootnoteText"/>
      </w:pPr>
      <w:r>
        <w:rPr>
          <w:rStyle w:val="FootnoteReference"/>
        </w:rPr>
        <w:footnoteRef/>
      </w:r>
      <w:r>
        <w:t xml:space="preserve"> Rif. 5 dell’originale: si veda la nota 7.</w:t>
      </w:r>
    </w:p>
  </w:footnote>
  <w:footnote w:id="9">
    <w:p>
      <w:pPr>
        <w:pStyle w:val="FootnoteText"/>
      </w:pPr>
      <w:r>
        <w:rPr>
          <w:rStyle w:val="FootnoteReference"/>
        </w:rPr>
        <w:footnoteRef/>
      </w:r>
      <w:r>
        <w:t xml:space="preserve"> Rif. 6 dell’originale: Modifiche alla legge regionale n. 24 dell’11 settembre 2020. Disposizioni urgenti di adeguamento dell’assetto organizzativo e istituzionale del sistema sanitario regionale. (2025). Disponibile online: https://consregsardegna.it (consultato l’11 agosto 2026).</w:t>
      </w:r>
    </w:p>
  </w:footnote>
  <w:footnote w:id="10">
    <w:p>
      <w:pPr>
        <w:pStyle w:val="FootnoteText"/>
      </w:pPr>
      <w:r>
        <w:rPr>
          <w:rStyle w:val="FootnoteReference"/>
        </w:rPr>
        <w:footnoteRef/>
      </w:r>
      <w:r>
        <w:t xml:space="preserve"> Rif. 7 dell’originale: Assessorato alla Sanità e alle Politiche sociali. Ricerca di «specifici decreti e proposte di deliberazione» emanati dall’aprile 2024 al dicembre 2025. (2026). Disponibile online: https://www.regione.sardegna.it (consultato il 4 luglio 2026).</w:t>
      </w:r>
    </w:p>
  </w:footnote>
  <w:footnote w:id="11">
    <w:p>
      <w:pPr>
        <w:pStyle w:val="FootnoteText"/>
      </w:pPr>
      <w:r>
        <w:rPr>
          <w:rStyle w:val="FootnoteReference"/>
        </w:rPr>
        <w:footnoteRef/>
      </w:r>
      <w:r>
        <w:t xml:space="preserve"> Rif. 8 dell’originale: Gazzetta Ufficiale, Serie generale n. 127 del 4 giugno 2015. Regolamento recante definizione degli standard qualitativi, strutturali, tecnologici e quantitativi relativi all’assistenza ospedaliera. (15G00084). (2015). Disponibile online: https://www.gazzettaufficiale.it/eli/id/2015/06/04/15G00084/sg (consultato il 4 luglio 2026).</w:t>
      </w:r>
    </w:p>
  </w:footnote>
  <w:footnote w:id="12">
    <w:p>
      <w:pPr>
        <w:pStyle w:val="FootnoteText"/>
      </w:pPr>
      <w:r>
        <w:rPr>
          <w:rStyle w:val="FootnoteReference"/>
        </w:rPr>
        <w:footnoteRef/>
      </w:r>
      <w:r>
        <w:t xml:space="preserve"> Rif. 9 dell’originale: Rete oncologica italiana. Alleanza contro il cancro. (2002). Disponibile online: https://www.alleanzacontroilcancro.it (consultato il 4 luglio 2026).</w:t>
      </w:r>
    </w:p>
  </w:footnote>
  <w:footnote w:id="13">
    <w:p>
      <w:pPr>
        <w:pStyle w:val="FootnoteText"/>
      </w:pPr>
      <w:r>
        <w:rPr>
          <w:rStyle w:val="FootnoteReference"/>
        </w:rPr>
        <w:footnoteRef/>
      </w:r>
      <w:r>
        <w:t xml:space="preserve"> Rif. 10 dell’originale: Rete oncologica regionale (2025). Disponibile online: https://www.regione.sardegna.it (consultato il 4 luglio 2026).</w:t>
      </w:r>
    </w:p>
  </w:footnote>
  <w:footnote w:id="14">
    <w:p>
      <w:pPr>
        <w:pStyle w:val="FootnoteText"/>
      </w:pPr>
      <w:r>
        <w:rPr>
          <w:rStyle w:val="FootnoteReference"/>
        </w:rPr>
        <w:footnoteRef/>
      </w:r>
      <w:r>
        <w:t xml:space="preserve"> Rif. 7 dell’originale: si veda la nota 10.</w:t>
      </w:r>
    </w:p>
    <w:p>
      <w:pPr>
        <w:pStyle w:val="FootnoteText"/>
      </w:pPr>
      <w:r>
        <w:t xml:space="preserve">Rif. 10 dell’originale: si veda la nota 13.</w:t>
      </w:r>
    </w:p>
    <w:p>
      <w:pPr>
        <w:pStyle w:val="FootnoteText"/>
      </w:pPr>
      <w:r>
        <w:t xml:space="preserve">Rif. 11 dell’originale: Deliberazione Giunta Regionale n. 42/61 6/11/2024. Linee guida sulla governance clinico-farmaceutica relative ai requisiti per un accesso più rapido alle nuove terapie, inclusi i farmaci innovativi (2024). Disponibile online: https://www.regione.sardegna.it (consultato il 4 luglio 2026).</w:t>
      </w:r>
    </w:p>
  </w:footnote>
  <w:footnote w:id="15">
    <w:p>
      <w:pPr>
        <w:pStyle w:val="FootnoteText"/>
      </w:pPr>
      <w:r>
        <w:rPr>
          <w:rStyle w:val="FootnoteReference"/>
        </w:rPr>
        <w:footnoteRef/>
      </w:r>
      <w:r>
        <w:t xml:space="preserve"> Rif. 7 dell’originale: si veda la nota 10.</w:t>
      </w:r>
    </w:p>
    <w:p>
      <w:pPr>
        <w:pStyle w:val="FootnoteText"/>
      </w:pPr>
      <w:r>
        <w:t xml:space="preserve">Rif. 10 dell’originale: si veda la nota 13.</w:t>
      </w:r>
    </w:p>
  </w:footnote>
  <w:footnote w:id="16">
    <w:p>
      <w:pPr>
        <w:pStyle w:val="FootnoteText"/>
      </w:pPr>
      <w:r>
        <w:rPr>
          <w:rStyle w:val="FootnoteReference"/>
        </w:rPr>
        <w:footnoteRef/>
      </w:r>
      <w:r>
        <w:t xml:space="preserve"> Rif. 11 dell’originale: si veda la nota 14.</w:t>
      </w:r>
    </w:p>
  </w:footnote>
  <w:footnote w:id="17">
    <w:p>
      <w:pPr>
        <w:pStyle w:val="FootnoteText"/>
      </w:pPr>
      <w:r>
        <w:rPr>
          <w:rStyle w:val="FootnoteReference"/>
        </w:rPr>
        <w:footnoteRef/>
      </w:r>
      <w:r>
        <w:t xml:space="preserve"> Rif. 12 dell’originale: Chiang CWK, Marcus JH, Sidore C, Biddanda A, al-Asadi H, Zoledziewska M, et al. Storia genomica della popolazione sarda. Nat. Genet. (2018) 50:1426–34. doi: 10.1038/s41588-018-0215-8</w:t>
      </w:r>
    </w:p>
    <w:p>
      <w:pPr>
        <w:pStyle w:val="FootnoteText"/>
      </w:pPr>
      <w:r>
        <w:t xml:space="preserve">Rif. 13 dell’originale: Lettre G, Hirschhorn JN. Piccola isola, grandi scoperte genetiche. Nat. Genet. (2015) 47:1224–5. doi: 10.1038/ng.3426</w:t>
      </w:r>
    </w:p>
    <w:p>
      <w:pPr>
        <w:pStyle w:val="FootnoteText"/>
      </w:pPr>
      <w:r>
        <w:t xml:space="preserve">Rif. 14 dell’originale: Marcus JH, Posth C, Ringbauer H. Storia genetica dal Neolitico medio a oggi nell’isola mediterranea della Sardegna. Nat. Commun. (2020) 11:939. doi: 10.1038/s41467-020-14523-6</w:t>
      </w:r>
    </w:p>
    <w:p>
      <w:pPr>
        <w:pStyle w:val="FootnoteText"/>
      </w:pPr>
      <w:r>
        <w:t xml:space="preserve">Rif. 15 dell’originale: Marini MG, Mingoia M, Steri M. La riduzione dell’espressione della ciclina D3 nelle cellule eritroidi protegge dalla malaria. Nature. (2026) 651:698–706. doi: 10.1038/s41586-026-10110</w:t>
      </w:r>
    </w:p>
    <w:p>
      <w:pPr>
        <w:pStyle w:val="FootnoteText"/>
      </w:pPr>
      <w:r>
        <w:t xml:space="preserve">Rif. 16 dell’originale: Pala M, Zappala Z, Marongiu M, Li X, Davis JR, Cusano R, et al. Variazione regolatoria specifica della popolazione e dell’individuo in Sardegna. Nat. Genet. (2017) 49:700–7. doi: 10.1038/ng.3840</w:t>
      </w:r>
    </w:p>
    <w:p>
      <w:pPr>
        <w:pStyle w:val="FootnoteText"/>
      </w:pPr>
      <w:r>
        <w:t xml:space="preserve">Rif. 17 dell’originale: Zoledziewska M, Sidore C, Chiang CWK, Sanna S, Mulas A, Steri M, et al. Varianti che riducono la statura e selezione per la bassa statura in Sardegna. Nat. Genet. (2015) 47:1352–6. doi: 10.1038/ng.3403</w:t>
      </w:r>
    </w:p>
  </w:footnote>
  <w:footnote w:id="18">
    <w:p>
      <w:pPr>
        <w:pStyle w:val="FootnoteText"/>
      </w:pPr>
      <w:r>
        <w:rPr>
          <w:rStyle w:val="FootnoteReference"/>
        </w:rPr>
        <w:footnoteRef/>
      </w:r>
      <w:r>
        <w:t xml:space="preserve"> Rif. 1 dell’originale: si veda la nota 1.</w:t>
      </w:r>
    </w:p>
    <w:p>
      <w:pPr>
        <w:pStyle w:val="FootnoteText"/>
      </w:pPr>
      <w:r>
        <w:t xml:space="preserve">Rif. 18 dell’originale: Garelli S, Dalla Costa M, Sabbadin C, Barollo S, Rubin B, Scarpa R, et al. Sindrome poliendocrina autoimmune di tipo 1: indagine italiana su 158 pazienti. J. Endocrinol. Investig. (2021) 44:2493–510. doi: 10.1007/s40618-021-01585-6</w:t>
      </w:r>
    </w:p>
  </w:footnote>
  <w:footnote w:id="19">
    <w:p>
      <w:pPr>
        <w:pStyle w:val="FootnoteText"/>
      </w:pPr>
      <w:r>
        <w:rPr>
          <w:rStyle w:val="FootnoteReference"/>
        </w:rPr>
        <w:footnoteRef/>
      </w:r>
      <w:r>
        <w:t xml:space="preserve"> Rif. 19 dell’originale: Schwaba T, Clapp Sullivan ML, Akingbuwa WA. Inferenza robusta e correlati genetici diffusi da uno studio di associazione genetica su larga scala della personalità umana. bioRxiv. (2025) 19:2025.05.16.648988. doi: 10.1101/2025.05.16.648988</w:t>
      </w:r>
    </w:p>
  </w:footnote>
  <w:footnote w:id="20">
    <w:p>
      <w:pPr>
        <w:pStyle w:val="FootnoteText"/>
      </w:pPr>
      <w:r>
        <w:rPr>
          <w:rStyle w:val="FootnoteReference"/>
        </w:rPr>
        <w:footnoteRef/>
      </w:r>
      <w:r>
        <w:t xml:space="preserve"> Rif. 20 dell’originale: Capocasa M, Anagnostou P, Bachis V, Battaggia C, Bertoncini S, Biondi G, et al. Isolamento linguistico, geografico e genetico: uno studio collaborativo sulle popolazioni italiane. J Anthropol Sci. (2014) 92:201–31. doi: 10.4436/JASS.92001</w:t>
      </w:r>
    </w:p>
  </w:footnote>
  <w:footnote w:id="21">
    <w:p>
      <w:pPr>
        <w:pStyle w:val="FootnoteText"/>
      </w:pPr>
      <w:r>
        <w:rPr>
          <w:rStyle w:val="FootnoteReference"/>
        </w:rPr>
        <w:footnoteRef/>
      </w:r>
      <w:r>
        <w:t xml:space="preserve"> Rif. 21 dell’originale: Hobart M. Guida alla storia sarda, 500–1500 Series: Brill’s Companions to European History, 11, Ed. Brill, Leiden Boston. (2017). 11:651. doi: 10.1163/9789004341241_024</w:t>
      </w:r>
    </w:p>
  </w:footnote>
  <w:footnote w:id="22">
    <w:p>
      <w:pPr>
        <w:pStyle w:val="FootnoteText"/>
      </w:pPr>
      <w:r>
        <w:rPr>
          <w:rStyle w:val="FootnoteReference"/>
        </w:rPr>
        <w:footnoteRef/>
      </w:r>
      <w:r>
        <w:t xml:space="preserve"> Rif. 21 dell’originale: si veda la nota 21.</w:t>
      </w:r>
    </w:p>
    <w:p>
      <w:pPr>
        <w:pStyle w:val="FootnoteText"/>
      </w:pPr>
      <w:r>
        <w:t xml:space="preserve">Rif. 22 dell’originale: Cole JM (1996) Antropologia della Sardegna. In: Shore C, Goddard VA and Llobera GL. L’antropologia dell’Europa. Identità e confini. By Sutton D. Ed. Wiley-Blackwel, Hoboken, New Jersey, USA 320.</w:t>
      </w:r>
    </w:p>
    <w:p>
      <w:pPr>
        <w:pStyle w:val="FootnoteText"/>
      </w:pPr>
      <w:r>
        <w:t xml:space="preserve">Rif. 23 dell’originale: Deledda G. Elias Portolu. KingMartha. Northwestern University Press, Illinois (1995) pp. 194.</w:t>
      </w:r>
    </w:p>
    <w:p>
      <w:pPr>
        <w:pStyle w:val="FootnoteText"/>
      </w:pPr>
      <w:r>
        <w:t xml:space="preserve">Rif. 24 dell’originale: Deledda G. Canne al vento. KingMartha; Italica Press, New York (1999) pp. 212.</w:t>
      </w:r>
    </w:p>
    <w:p>
      <w:pPr>
        <w:pStyle w:val="FootnoteText"/>
      </w:pPr>
      <w:r>
        <w:t xml:space="preserve">Rif. 25 dell’originale: Dessi G. La foresta di Norbio [traduzione del titolo inglese citato]. London: Ed. Victor Gollancz (1975). p. 360.</w:t>
      </w:r>
    </w:p>
    <w:p>
      <w:pPr>
        <w:pStyle w:val="FootnoteText"/>
      </w:pPr>
      <w:r>
        <w:t xml:space="preserve">Rif. 26 dell’originale: Messana G. Ospitalità e scambio: relazioni identitarie fra «nativi» e «stranieri» in Sardegna. Island Stud J. (2021) 16:97–116. doi: 10.24043/isj.176</w:t>
      </w:r>
    </w:p>
    <w:p>
      <w:pPr>
        <w:pStyle w:val="FootnoteText"/>
      </w:pPr>
      <w:r>
        <w:t xml:space="preserve">Rif. 27 dell’originale: Satta S. Il giorno del giudizio. New York: Ed. Farrar Straus &amp; Giroux (1987). p. 300.</w:t>
      </w:r>
    </w:p>
  </w:footnote>
  <w:footnote w:id="23">
    <w:p>
      <w:pPr>
        <w:pStyle w:val="FootnoteText"/>
      </w:pPr>
      <w:r>
        <w:rPr>
          <w:rStyle w:val="FootnoteReference"/>
        </w:rPr>
        <w:footnoteRef/>
      </w:r>
      <w:r>
        <w:t xml:space="preserve"> Rif. 23 dell’originale: si veda la nota 22.</w:t>
      </w:r>
    </w:p>
    <w:p>
      <w:pPr>
        <w:pStyle w:val="FootnoteText"/>
      </w:pPr>
      <w:r>
        <w:t xml:space="preserve">Rif. 24 dell’originale: si veda la nota 22.</w:t>
      </w:r>
    </w:p>
    <w:p>
      <w:pPr>
        <w:pStyle w:val="FootnoteText"/>
      </w:pPr>
      <w:r>
        <w:t xml:space="preserve">Rif. 27 dell’originale: si veda la nota 22.</w:t>
      </w:r>
    </w:p>
  </w:footnote>
  <w:footnote w:id="24">
    <w:p>
      <w:pPr>
        <w:pStyle w:val="FootnoteText"/>
      </w:pPr>
      <w:r>
        <w:rPr>
          <w:rStyle w:val="FootnoteReference"/>
        </w:rPr>
        <w:footnoteRef/>
      </w:r>
      <w:r>
        <w:t xml:space="preserve"> Rif. 25 dell’originale: si veda la nota 22.</w:t>
      </w:r>
    </w:p>
  </w:footnote>
  <w:footnote w:id="25">
    <w:p>
      <w:pPr>
        <w:pStyle w:val="FootnoteText"/>
      </w:pPr>
      <w:r>
        <w:rPr>
          <w:rStyle w:val="FootnoteReference"/>
        </w:rPr>
        <w:footnoteRef/>
      </w:r>
      <w:r>
        <w:t xml:space="preserve"> Rif. 22 dell’originale: si veda la nota 22.</w:t>
      </w:r>
    </w:p>
    <w:p>
      <w:pPr>
        <w:pStyle w:val="FootnoteText"/>
      </w:pPr>
      <w:r>
        <w:t xml:space="preserve">Rif. 26 dell’originale: si veda la nota 22.</w:t>
      </w:r>
    </w:p>
  </w:footnote>
  <w:footnote w:id="26">
    <w:p>
      <w:pPr>
        <w:pStyle w:val="FootnoteText"/>
      </w:pPr>
      <w:r>
        <w:rPr>
          <w:rStyle w:val="FootnoteReference"/>
        </w:rPr>
        <w:footnoteRef/>
      </w:r>
      <w:r>
        <w:t xml:space="preserve"> Rif. 28 dell’originale: Benzian H, Fox MP, Naidoo S. Paralisi nella sanità pubblica e nelle politiche: quando le evidenze diventano un alibi. Lancet Public Health. (2026) 11:e264–7. doi: 10.1016/s2468-2667(26)00044-7</w:t>
      </w:r>
    </w:p>
  </w:footnote>
  <w:footnote w:id="27">
    <w:p>
      <w:pPr>
        <w:pStyle w:val="FootnoteText"/>
      </w:pPr>
      <w:r>
        <w:rPr>
          <w:rStyle w:val="FootnoteReference"/>
        </w:rPr>
        <w:footnoteRef/>
      </w:r>
      <w:r>
        <w:t xml:space="preserve"> Rif. 7 dell’originale: si veda la nota 10.</w:t>
      </w:r>
    </w:p>
  </w:footnote>
  <w:footnote w:id="28">
    <w:p>
      <w:pPr>
        <w:pStyle w:val="FootnoteText"/>
      </w:pPr>
      <w:r>
        <w:rPr>
          <w:rStyle w:val="FootnoteReference"/>
        </w:rPr>
        <w:footnoteRef/>
      </w:r>
      <w:r>
        <w:t xml:space="preserve"> Rif. 2 dell’originale: si veda la nota 2.</w:t>
      </w:r>
    </w:p>
    <w:p>
      <w:pPr>
        <w:pStyle w:val="FootnoteText"/>
      </w:pPr>
      <w:r>
        <w:t xml:space="preserve">Rif. 7 dell’originale: si veda la nota 10.</w:t>
      </w:r>
    </w:p>
  </w:footnote>
  <w:footnote w:id="29">
    <w:p>
      <w:pPr>
        <w:pStyle w:val="FootnoteText"/>
      </w:pPr>
      <w:r>
        <w:rPr>
          <w:rStyle w:val="FootnoteReference"/>
        </w:rPr>
        <w:footnoteRef/>
      </w:r>
      <w:r>
        <w:t xml:space="preserve"> Rif. 7 dell’originale: si veda la nota 10.</w:t>
      </w:r>
    </w:p>
  </w:footnote>
  <w:footnote w:id="30">
    <w:p>
      <w:pPr>
        <w:pStyle w:val="FootnoteText"/>
      </w:pPr>
      <w:r>
        <w:rPr>
          <w:rStyle w:val="FootnoteReference"/>
        </w:rPr>
        <w:footnoteRef/>
      </w:r>
      <w:r>
        <w:t xml:space="preserve"> Rif. 6 dell’originale: si veda la nota 9.</w:t>
      </w:r>
    </w:p>
  </w:footnote>
  <w:footnote w:id="31">
    <w:p>
      <w:pPr>
        <w:pStyle w:val="FootnoteText"/>
      </w:pPr>
      <w:r>
        <w:rPr>
          <w:rStyle w:val="FootnoteReference"/>
        </w:rPr>
        <w:footnoteRef/>
      </w:r>
      <w:r>
        <w:t xml:space="preserve"> Rif. 7 dell’originale: si veda la nota 10.</w:t>
      </w:r>
    </w:p>
  </w:footnote>
  <w:footnote w:id="32">
    <w:p>
      <w:pPr>
        <w:pStyle w:val="FootnoteText"/>
      </w:pPr>
      <w:r>
        <w:rPr>
          <w:rStyle w:val="FootnoteReference"/>
        </w:rPr>
        <w:footnoteRef/>
      </w:r>
      <w:r>
        <w:t xml:space="preserve"> Rif. 3 dell’originale: si veda la nota 3.</w:t>
      </w:r>
    </w:p>
  </w:footnote>
  <w:footnote w:id="33">
    <w:p>
      <w:pPr>
        <w:pStyle w:val="FootnoteText"/>
      </w:pPr>
      <w:r>
        <w:rPr>
          <w:rStyle w:val="FootnoteReference"/>
        </w:rPr>
        <w:footnoteRef/>
      </w:r>
      <w:r>
        <w:t xml:space="preserve"> Rif. 2 dell’originale: si veda la nota 2.</w:t>
      </w:r>
    </w:p>
  </w:footnote>
  <w:footnote w:id="34">
    <w:p>
      <w:pPr>
        <w:pStyle w:val="FootnoteText"/>
      </w:pPr>
      <w:r>
        <w:rPr>
          <w:rStyle w:val="FootnoteReference"/>
        </w:rPr>
        <w:footnoteRef/>
      </w:r>
      <w:r>
        <w:t xml:space="preserve"> Rif. 3 dell’originale: si veda la nota 3.</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9" w:lineRule="auto"/>
    </w:pPr>
    <w:rPr>
      <w:rFonts w:ascii="Cambria" w:hAnsi="Cambria"/>
      <w:color w:val="000000"/>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mbria" w:hAnsi="Cambria"/>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mbria" w:hAnsi="Cambria"/>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mbria" w:hAnsi="Cambria"/>
      <w:color w:val="00000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mbria" w:hAnsi="Cambria"/>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otnoteText">
    <w:name w:val="Footnote Text"/>
    <w:pPr>
      <w:spacing w:after="60" w:line="240" w:lineRule="auto"/>
    </w:pPr>
    <w:rPr>
      <w:rFonts w:ascii="Cambria" w:hAnsi="Cambria"/>
      <w:sz w:val="18"/>
    </w:rPr>
  </w:style>
  <w:style w:type="character" w:customStyle="1" w:styleId="FootnoteReference">
    <w:name w:val="Footnote Reference"/>
    <w:rPr>
      <w:sz w:val="16"/>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